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20"/>
      </w:pPr>
      <w:r>
        <w:t xml:space="preserve">Financial Data Warehouse Final Report</w:t>
      </w:r>
    </w:p>
    <w:p>
      <w:pPr>
        <w:pStyle w:val="Heading1"/>
        <w:spacing w:after="120" w:before="220"/>
      </w:pPr>
      <w:r>
        <w:t xml:space="preserve">1. Introduction to the Business</w:t>
      </w:r>
    </w:p>
    <w:p>
      <w:pPr>
        <w:spacing w:after="120"/>
      </w:pPr>
      <w:r>
        <w:t xml:space="preserve">This project designs a data warehouse for a synthetic retail banking organization. The organization manages customers, accounts, branches, banking transactions, foreign-exchange rates, loans, and loan payments.</w:t>
      </w:r>
    </w:p>
    <w:p>
      <w:pPr>
        <w:spacing w:after="120"/>
      </w:pPr>
      <w:r>
        <w:t xml:space="preserve">Operational data is distributed across multiple sources. Customer, account, and branch master data are supplied as CSV files. Banking transactions are supplied as a separate CSV extract. Loan and payment data originate in a MySQL source database. Foreign-exchange rates are retrieved from a REST API and loaded into the warehouse.</w:t>
      </w:r>
    </w:p>
    <w:p>
      <w:pPr>
        <w:spacing w:after="120"/>
      </w:pPr>
      <w:r>
        <w:t xml:space="preserve">The warehouse supports management questions about transaction volume, reporting-currency value, account balances, branch performance, currencies, loan exposure, payment behavior, overdue facilities, and upcoming loan maturities.</w:t>
      </w:r>
    </w:p>
    <w:p>
      <w:pPr>
        <w:pStyle w:val="Heading1"/>
        <w:spacing w:after="120" w:before="220"/>
      </w:pPr>
      <w:r>
        <w:t xml:space="preserve">2. Tools and Technologies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E8EEE5" w:val="clear"/>
          </w:tcPr>
          <w:p>
            <w:r>
              <w:t xml:space="preserve">Technology</w:t>
            </w:r>
          </w:p>
        </w:tc>
        <w:tc>
          <w:tcPr>
            <w:shd w:fill="E8EEE5" w:val="clear"/>
          </w:tcPr>
          <w:p>
            <w:r>
              <w:t xml:space="preserve">Use in this project</w:t>
            </w:r>
          </w:p>
        </w:tc>
      </w:tr>
      <w:tr>
        <w:tc>
          <w:p>
            <w:r>
              <w:t xml:space="preserve">MySQL 8</w:t>
            </w:r>
          </w:p>
        </w:tc>
        <w:tc>
          <w:p>
            <w:r>
              <w:t xml:space="preserve">Source database and Bronze/Silver/Gold warehouse</w:t>
            </w:r>
          </w:p>
        </w:tc>
      </w:tr>
      <w:tr>
        <w:tc>
          <w:p>
            <w:r>
              <w:t xml:space="preserve">SQL</w:t>
            </w:r>
          </w:p>
        </w:tc>
        <w:tc>
          <w:p>
            <w:r>
              <w:t xml:space="preserve">DDL, ETL transformations, dimensional modelling, views, validation, and business analysis</w:t>
            </w:r>
          </w:p>
        </w:tc>
      </w:tr>
      <w:tr>
        <w:tc>
          <w:p>
            <w:r>
              <w:t xml:space="preserve">Python</w:t>
            </w:r>
          </w:p>
        </w:tc>
        <w:tc>
          <w:p>
            <w:r>
              <w:t xml:space="preserve">Foreign-exchange REST API extraction</w:t>
            </w:r>
          </w:p>
        </w:tc>
      </w:tr>
      <w:tr>
        <w:tc>
          <w:p>
            <w:r>
              <w:t xml:space="preserve">Node.js and Express</w:t>
            </w:r>
          </w:p>
        </w:tc>
        <w:tc>
          <w:p>
            <w:r>
              <w:t xml:space="preserve">Backend API and pipeline execution service</w:t>
            </w:r>
          </w:p>
        </w:tc>
      </w:tr>
      <w:tr>
        <w:tc>
          <w:p>
            <w:r>
              <w:t xml:space="preserve">React and Vite</w:t>
            </w:r>
          </w:p>
        </w:tc>
        <w:tc>
          <w:p>
            <w:r>
              <w:t xml:space="preserve">Warehouse operations dashboard</w:t>
            </w:r>
          </w:p>
        </w:tc>
      </w:tr>
      <w:tr>
        <w:tc>
          <w:p>
            <w:r>
              <w:t xml:space="preserve">MySQL CLI or Workbench</w:t>
            </w:r>
          </w:p>
        </w:tc>
        <w:tc>
          <w:p>
            <w:r>
              <w:t xml:space="preserve">Database implementation and demonstration</w:t>
            </w:r>
          </w:p>
        </w:tc>
      </w:tr>
    </w:tbl>
    <w:p>
      <w:pPr>
        <w:pStyle w:val="Heading1"/>
        <w:spacing w:after="120" w:before="220"/>
      </w:pPr>
      <w:r>
        <w:t xml:space="preserve">3. Warehouse Architecture</w:t>
      </w:r>
    </w:p>
    <w:p>
      <w:pPr>
        <w:shd w:fill="F1F3F0" w:val="clear"/>
        <w:spacing w:after="140"/>
      </w:pPr>
      <w:r>
        <w:rPr>
          <w:rFonts w:ascii="Courier New" w:cs="Courier New" w:eastAsia="Courier New" w:hAnsi="Courier New"/>
          <w:sz w:val="18"/>
          <w:szCs w:val="18"/>
        </w:rPr>
        <w:t xml:space="preserve">flowchart LR
    C[Core banking CSVs] --&gt; B[Bronze raw layer]
    T[Transaction CSV] --&gt; B
    L[Loan MySQL source] --&gt; B
    X[FX REST API] --&gt; B
    B --&gt; S[Silver cleaned layer]
    S --&gt; G[Gold star schema]
    G --&gt; R[Reporting views]
    G --&gt; A[Express API]
    A --&gt; U[React dashboard]</w:t>
      </w:r>
    </w:p>
    <w:p>
      <w:pPr>
        <w:spacing w:after="120"/>
      </w:pPr>
      <w:r>
        <w:t xml:space="preserve">Bronze stores source-shaped values. Silver parses dates, retains transaction source fields, transforms names and loan identifiers, and calculates reporting currency. Gold provides analytics-ready dimensions and facts.</w:t>
      </w:r>
    </w:p>
    <w:p>
      <w:pPr>
        <w:pStyle w:val="Heading1"/>
        <w:spacing w:after="120" w:before="220"/>
      </w:pPr>
      <w:r>
        <w:t xml:space="preserve">4. Dimensional Model</w:t>
      </w:r>
    </w:p>
    <w:p>
      <w:pPr>
        <w:pStyle w:val="Heading2"/>
        <w:spacing w:after="120" w:before="220"/>
      </w:pPr>
      <w:r>
        <w:t xml:space="preserve">Dimensions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dim_date</w:t>
      </w:r>
      <w:r>
        <w:t xml:space="preserve">: calendar date and reporting attributes.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dim_currency</w:t>
      </w:r>
      <w:r>
        <w:t xml:space="preserve">: currency code and reporting-currency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dim_branch</w:t>
      </w:r>
      <w:r>
        <w:t xml:space="preserve">: branch identity and location attributes.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dim_customer</w:t>
      </w:r>
      <w:r>
        <w:t xml:space="preserve">: customer identity and descriptive attributes.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dim_account</w:t>
      </w:r>
      <w:r>
        <w:t xml:space="preserve">: account identity, owner, branch, type, opening date, and balance.</w:t>
      </w:r>
    </w:p>
    <w:p>
      <w:pPr>
        <w:pStyle w:val="Heading2"/>
        <w:spacing w:after="120" w:before="220"/>
      </w:pPr>
      <w:r>
        <w:t xml:space="preserve">Facts and Grain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fact_transaction</w:t>
      </w:r>
      <w:r>
        <w:t xml:space="preserve">: one row per banking transaction.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fact_exchange_rate</w:t>
      </w:r>
      <w:r>
        <w:t xml:space="preserve">: one row per target currency and rate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fact_loan</w:t>
      </w:r>
      <w:r>
        <w:t xml:space="preserve">: one row per loan facility.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fact_loan_payment</w:t>
      </w:r>
      <w:r>
        <w:t xml:space="preserve">: one row per payment event.</w:t>
      </w:r>
    </w:p>
    <w:p>
      <w:pPr>
        <w:spacing w:after="120"/>
      </w:pPr>
      <w:r>
        <w:t xml:space="preserve">The Gold physical schema is implemented in </w:t>
      </w:r>
      <w:r>
        <w:t xml:space="preserve">gold_ddl.sql (../scripts/ddl/gold_ddl.sql)</w:t>
      </w:r>
      <w:r>
        <w:t xml:space="preserve">. The full model documentation is in </w:t>
      </w:r>
      <w:r>
        <w:t xml:space="preserve">DIMENSIONAL_MODEL.md (DIMENSIONAL_MODEL.md)</w:t>
      </w:r>
      <w:r>
        <w:t xml:space="preserve">.</w:t>
      </w:r>
    </w:p>
    <w:p>
      <w:pPr>
        <w:pStyle w:val="Heading1"/>
        <w:spacing w:after="120" w:before="220"/>
      </w:pPr>
      <w:r>
        <w:t xml:space="preserve">5. Implementation</w:t>
      </w:r>
    </w:p>
    <w:p>
      <w:pPr>
        <w:spacing w:after="120"/>
      </w:pPr>
      <w:r>
        <w:t xml:space="preserve">The implementation sequence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</w:t>
      </w:r>
      <w:r>
        <w:rPr>
          <w:rFonts w:ascii="Courier New" w:cs="Courier New" w:eastAsia="Courier New" w:hAnsi="Courier New"/>
        </w:rPr>
        <w:t xml:space="preserve">warehouse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banking_loan_source</w:t>
      </w:r>
      <w:r>
        <w:t xml:space="preserve"> databases.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loan source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Bronze, routines, Silver, Gold, and reporting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 FX rates from the REST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Bronze source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 Bronze to Silver.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Gold dimensions and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quality checks and business queries.</w:t>
      </w:r>
    </w:p>
    <w:p>
      <w:pPr>
        <w:spacing w:after="120"/>
      </w:pPr>
      <w:r>
        <w:t xml:space="preserve">The backend exposes </w:t>
      </w:r>
      <w:r>
        <w:rPr>
          <w:rFonts w:ascii="Courier New" w:cs="Courier New" w:eastAsia="Courier New" w:hAnsi="Courier New"/>
        </w:rPr>
        <w:t xml:space="preserve">POST /api/pipeline/run</w:t>
      </w:r>
      <w:r>
        <w:t xml:space="preserve">, which executes the Bronze, Silver, and Gold load scripts in order. The React Run pipeline button calls this endpoint and refreshes the dashboard from MySQL.</w:t>
      </w:r>
    </w:p>
    <w:p>
      <w:pPr>
        <w:pStyle w:val="Heading1"/>
        <w:spacing w:after="120" w:before="220"/>
      </w:pPr>
      <w:r>
        <w:t xml:space="preserve">6. Data Quality</w:t>
      </w:r>
    </w:p>
    <w:p>
      <w:pPr>
        <w:spacing w:after="120"/>
      </w:pPr>
      <w:r>
        <w:t xml:space="preserve">The project includes checks for duplicate transaction IDs, duplicate fact grains, unresolved Gold dimension relationships, source-to-Gold row-count reconciliation, and loan relationship coverage. ETL stages write audit records to </w:t>
      </w:r>
      <w:r>
        <w:rPr>
          <w:rFonts w:ascii="Courier New" w:cs="Courier New" w:eastAsia="Courier New" w:hAnsi="Courier New"/>
        </w:rPr>
        <w:t xml:space="preserve">warehouse.etl_run_log</w:t>
      </w:r>
      <w:r>
        <w:t xml:space="preserve">.</w:t>
      </w:r>
    </w:p>
    <w:p>
      <w:pPr>
        <w:spacing w:after="120"/>
      </w:pPr>
      <w:r>
        <w:t xml:space="preserve">The synthetic loan source contains identifiers outside the CSV customer and account master ranges. These are intentionally visible as relationship-quality issues rather than being silently mapped to incorrect customers or accounts.</w:t>
      </w:r>
    </w:p>
    <w:p>
      <w:pPr>
        <w:pStyle w:val="Heading1"/>
        <w:spacing w:after="120" w:before="220"/>
      </w:pPr>
      <w:r>
        <w:t xml:space="preserve">7. Business Queries and Group Allocation</w:t>
      </w:r>
    </w:p>
    <w:p>
      <w:pPr>
        <w:spacing w:after="120"/>
      </w:pPr>
      <w:r>
        <w:t xml:space="preserve">Each group member has four queries: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8EEE5" w:val="clear"/>
          </w:tcPr>
          <w:p>
            <w:r>
              <w:t xml:space="preserve">Group member</w:t>
            </w:r>
          </w:p>
        </w:tc>
        <w:tc>
          <w:tcPr>
            <w:shd w:fill="E8EEE5" w:val="clear"/>
          </w:tcPr>
          <w:p>
            <w:r>
              <w:t xml:space="preserve">File</w:t>
            </w:r>
          </w:p>
        </w:tc>
        <w:tc>
          <w:tcPr>
            <w:shd w:fill="E8EEE5" w:val="clear"/>
          </w:tcPr>
          <w:p>
            <w:r>
              <w:t xml:space="preserve">Query numbers</w:t>
            </w:r>
          </w:p>
        </w:tc>
        <w:tc>
          <w:tcPr>
            <w:shd w:fill="E8EEE5" w:val="clear"/>
          </w:tcPr>
          <w:p>
            <w:r>
              <w:t xml:space="preserve">Focus</w:t>
            </w:r>
          </w:p>
        </w:tc>
      </w:tr>
      <w:tr>
        <w:tc>
          <w:p>
            <w:r>
              <w:t xml:space="preserve">Group 1</w:t>
            </w:r>
          </w:p>
        </w:tc>
        <w:tc>
          <w:p>
            <w:r>
              <w:t xml:space="preserve">group_01_queries.sql (../scripts/queries/group_01_queries.sql)</w:t>
            </w:r>
          </w:p>
        </w:tc>
        <w:tc>
          <w:p>
            <w:r>
              <w:t xml:space="preserve">Q01-Q04</w:t>
            </w:r>
          </w:p>
        </w:tc>
        <w:tc>
          <w:p>
            <w:r>
              <w:t xml:space="preserve">Transaction operations and channels</w:t>
            </w:r>
          </w:p>
        </w:tc>
      </w:tr>
      <w:tr>
        <w:tc>
          <w:p>
            <w:r>
              <w:t xml:space="preserve">Group 2</w:t>
            </w:r>
          </w:p>
        </w:tc>
        <w:tc>
          <w:p>
            <w:r>
              <w:t xml:space="preserve">group_02_queries.sql (../scripts/queries/group_02_queries.sql)</w:t>
            </w:r>
          </w:p>
        </w:tc>
        <w:tc>
          <w:p>
            <w:r>
              <w:t xml:space="preserve">Q05-Q08</w:t>
            </w:r>
          </w:p>
        </w:tc>
        <w:tc>
          <w:p>
            <w:r>
              <w:t xml:space="preserve">Currency, accounts, and customers</w:t>
            </w:r>
          </w:p>
        </w:tc>
      </w:tr>
      <w:tr>
        <w:tc>
          <w:p>
            <w:r>
              <w:t xml:space="preserve">Group 3</w:t>
            </w:r>
          </w:p>
        </w:tc>
        <w:tc>
          <w:p>
            <w:r>
              <w:t xml:space="preserve">group_03_queries.sql (../scripts/queries/group_03_queries.sql)</w:t>
            </w:r>
          </w:p>
        </w:tc>
        <w:tc>
          <w:p>
            <w:r>
              <w:t xml:space="preserve">Q09-Q12</w:t>
            </w:r>
          </w:p>
        </w:tc>
        <w:tc>
          <w:p>
            <w:r>
              <w:t xml:space="preserve">Branch and loan portfolio summaries</w:t>
            </w:r>
          </w:p>
        </w:tc>
      </w:tr>
      <w:tr>
        <w:tc>
          <w:p>
            <w:r>
              <w:t xml:space="preserve">Group 4</w:t>
            </w:r>
          </w:p>
        </w:tc>
        <w:tc>
          <w:p>
            <w:r>
              <w:t xml:space="preserve">group_04_queries.sql (../scripts/queries/group_04_queries.sql)</w:t>
            </w:r>
          </w:p>
        </w:tc>
        <w:tc>
          <w:p>
            <w:r>
              <w:t xml:space="preserve">Q13-Q16</w:t>
            </w:r>
          </w:p>
        </w:tc>
        <w:tc>
          <w:p>
            <w:r>
              <w:t xml:space="preserve">Interest rates and payments</w:t>
            </w:r>
          </w:p>
        </w:tc>
      </w:tr>
      <w:tr>
        <w:tc>
          <w:p>
            <w:r>
              <w:t xml:space="preserve">Group 5</w:t>
            </w:r>
          </w:p>
        </w:tc>
        <w:tc>
          <w:p>
            <w:r>
              <w:t xml:space="preserve">group_05_queries.sql (../scripts/queries/group_05_queries.sql)</w:t>
            </w:r>
          </w:p>
        </w:tc>
        <w:tc>
          <w:p>
            <w:r>
              <w:t xml:space="preserve">Q17-Q20</w:t>
            </w:r>
          </w:p>
        </w:tc>
        <w:tc>
          <w:p>
            <w:r>
              <w:t xml:space="preserve">Exposure, quality, and maturity risk</w:t>
            </w:r>
          </w:p>
        </w:tc>
      </w:tr>
    </w:tbl>
    <w:p>
      <w:pPr>
        <w:spacing w:after="120"/>
      </w:pPr>
      <w:r>
        <w:t xml:space="preserve">The original combined query file remains available at </w:t>
      </w:r>
      <w:r>
        <w:t xml:space="preserve">business_queries.sql (../scripts/queries/business_queries.sql)</w:t>
      </w:r>
      <w:r>
        <w:t xml:space="preserve">.</w:t>
      </w:r>
    </w:p>
    <w:p>
      <w:pPr>
        <w:pStyle w:val="Heading1"/>
        <w:spacing w:after="120" w:before="220"/>
      </w:pPr>
      <w:r>
        <w:t xml:space="preserve">8. Query Results</w:t>
      </w:r>
    </w:p>
    <w:p>
      <w:pPr>
        <w:spacing w:after="120"/>
      </w:pPr>
      <w:r>
        <w:t xml:space="preserve">Results must be generated from the populated MySQL warehouse so that the report does not contain invented values. Run each group file or generate the combined output:</w:t>
      </w:r>
    </w:p>
    <w:p>
      <w:pPr>
        <w:shd w:fill="F1F3F0" w:val="clear"/>
        <w:spacing w:after="14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 warehouse &lt; scripts/queries/group_01_queries.sql
mysql -u root -p warehouse &lt; scripts/queries/group_02_queries.sql
mysql -u root -p warehouse &lt; scripts/queries/group_03_queries.sql
mysql -u root -p warehouse &lt; scripts/queries/group_04_queries.sql
mysql -u root -p warehouse &lt; scripts/queries/group_05_queries.sql
mysql -u root -p warehouse &lt; scripts/queries/business_queries.sql &gt; docs/business_query_results.txt</w:t>
      </w:r>
    </w:p>
    <w:p>
      <w:pPr>
        <w:spacing w:after="120"/>
      </w:pPr>
      <w:r>
        <w:t xml:space="preserve">For the final submission, attach </w:t>
      </w:r>
      <w:r>
        <w:rPr>
          <w:rFonts w:ascii="Courier New" w:cs="Courier New" w:eastAsia="Courier New" w:hAnsi="Courier New"/>
        </w:rPr>
        <w:t xml:space="preserve">business_query_results.txt</w:t>
      </w:r>
      <w:r>
        <w:t xml:space="preserve"> or paste the result tables below each corresponding business question and explain the business implication.</w:t>
      </w:r>
    </w:p>
    <w:p>
      <w:pPr>
        <w:pStyle w:val="Heading1"/>
        <w:spacing w:after="120" w:before="220"/>
      </w:pPr>
      <w:r>
        <w:t xml:space="preserve">9. Demonstration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MySQL and configure </w:t>
      </w:r>
      <w:r>
        <w:rPr>
          <w:rFonts w:ascii="Courier New" w:cs="Courier New" w:eastAsia="Courier New" w:hAnsi="Courier New"/>
        </w:rPr>
        <w:t xml:space="preserve">backend/.env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and load the warehouse using the documented SQL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backend with </w:t>
      </w:r>
      <w:r>
        <w:rPr>
          <w:rFonts w:ascii="Courier New" w:cs="Courier New" w:eastAsia="Courier New" w:hAnsi="Courier New"/>
        </w:rPr>
        <w:t xml:space="preserve">npm run dev</w:t>
      </w:r>
      <w:r>
        <w:t xml:space="preserve"> from </w:t>
      </w:r>
      <w:r>
        <w:rPr>
          <w:rFonts w:ascii="Courier New" w:cs="Courier New" w:eastAsia="Courier New" w:hAnsi="Courier New"/>
        </w:rPr>
        <w:t xml:space="preserve">backend/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dashboard with </w:t>
      </w:r>
      <w:r>
        <w:rPr>
          <w:rFonts w:ascii="Courier New" w:cs="Courier New" w:eastAsia="Courier New" w:hAnsi="Courier New"/>
        </w:rPr>
        <w:t xml:space="preserve">npm run dev</w:t>
      </w:r>
      <w:r>
        <w:t xml:space="preserve"> from </w:t>
      </w:r>
      <w:r>
        <w:rPr>
          <w:rFonts w:ascii="Courier New" w:cs="Courier New" w:eastAsia="Courier New" w:hAnsi="Courier New"/>
        </w:rPr>
        <w:t xml:space="preserve">visualization/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urier New" w:cs="Courier New" w:eastAsia="Courier New" w:hAnsi="Courier New"/>
        </w:rPr>
        <w:t xml:space="preserve">http://127.0.0.1:5173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pipeline from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overview metrics, pipeline health, transactions, loans, quality checks, and ETL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the 20 query results and their business interpretations.</w:t>
      </w:r>
    </w:p>
    <w:p>
      <w:pPr>
        <w:pStyle w:val="Heading1"/>
        <w:spacing w:after="120" w:before="220"/>
      </w:pPr>
      <w:r>
        <w:t xml:space="preserve">10. Conclusion</w:t>
      </w:r>
    </w:p>
    <w:p>
      <w:pPr>
        <w:spacing w:after="120"/>
      </w:pPr>
      <w:r>
        <w:t xml:space="preserve">The project provides a complete multi-source banking warehouse implementation with dimensional Gold modelling, repeatable ETL, quality controls, an API layer, and an operational React dashboard. The final demonstration must use a configured MySQL instance to generate the actual business-query result tables.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FINAL_REPORT</dc:title>
  <dc:creator>Financial Data Warehouse project</dc:creator>
  <dc:description>Financial Data Warehouse project report</dc:description>
  <cp:lastModifiedBy>Un-named</cp:lastModifiedBy>
  <cp:revision>1</cp:revision>
  <dcterms:created xsi:type="dcterms:W3CDTF">2026-10-19T11:04:07.554Z</dcterms:created>
  <dcterms:modified xsi:type="dcterms:W3CDTF">2026-10-19T11:04:07.556Z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