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05</w:t>
      </w:r>
    </w:p>
    <w:p>
      <w:pPr>
        <w:pStyle w:val="Title"/>
      </w:pPr>
      <w:r>
        <w:t>Accounting Transactions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Interpret source documents; classify transactions and prepare journal entries.</w:t>
      </w:r>
    </w:p>
    <w:p>
      <w:r>
        <w:rPr>
          <w:b/>
        </w:rPr>
        <w:t xml:space="preserve">Submit  </w:t>
      </w:r>
      <w:r>
        <w:t>Transaction register and journal. Keep your individual working file and any source or formula evidence.</w:t>
      </w:r>
    </w:p>
    <w:p>
      <w:pPr>
        <w:pStyle w:val="Heading2"/>
      </w:pPr>
      <w:r>
        <w:t>Case study</w:t>
      </w:r>
    </w:p>
    <w:p>
      <w:r>
        <w:t>Use Case A in the data appendix. Twelve September events must be entered from source evidence. All values in this accounting-only case exclude indirect tax. No depreciation is required for this one-month exercise. Do not mix in the later GST case.</w:t>
      </w:r>
    </w:p>
    <w:p>
      <w:pPr>
        <w:pStyle w:val="Heading2"/>
      </w:pPr>
      <w:r>
        <w:t>Concept briefing</w:t>
      </w:r>
    </w:p>
    <w:p>
      <w:r>
        <w:t>Debits increase assets and expenses; credits increase liabilities, equity and revenue. Collection of an existing receivable does not create revenue again. A refundable advance is a liability until the service is earned.</w:t>
      </w:r>
    </w:p>
    <w:p>
      <w:r>
        <w:rPr>
          <w:b/>
        </w:rPr>
        <w:t xml:space="preserve">Small worked example  </w:t>
      </w:r>
      <w:r>
        <w:t>A client pays an INR 8,000 existing invoice: debit Bank 8,000, credit Trade receivables 8,000. Revenue was recognised when the service was earned.</w:t>
      </w:r>
    </w:p>
    <w:p>
      <w:pPr>
        <w:pStyle w:val="Heading2"/>
      </w:pPr>
      <w:r>
        <w:t>Your assignment</w:t>
      </w:r>
    </w:p>
    <w:p>
      <w:r>
        <w:t>Create a transaction register with document ID, business event, debit account, credit account, amount and evidence status. Journal all 12 events. Flag the source needed for an accrued wage and a customer advance.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A September accounting release</w:t>
      </w:r>
    </w:p>
    <w:p>
      <w:r>
        <w:t>Use in Sessions 5 and 6 only. Fictional Vayentra Labs business; INR; indirect tax omitted to isolate accounting. Opening balances on 1 September: Bank debit 100,000; Capital credit 100,000. Equipment is capitalised; depreciation is excluded for this teaching month. All transactions are supported by the described synthetic source records.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ID and date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Source event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INR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A01 Sep 02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Completed service on credit; client acceptance and invoice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60000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A02 Sep 04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Completed service paid immediately into bank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40000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A03 Sep 05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September rent paid by bank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12000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A04 Sep 06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September software subscription paid by bank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6000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A05 Sep 10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Bank collection against A01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35000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A06 Sep 12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September contractor service paid by bank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18000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A07 Sep 20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September wages earned but unpaid; approved wage schedule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10000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A08 Sep 22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Bank payment against A07 wage liability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4000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A09 Sep 24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Refundable customer advance received in bank; future service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15000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A10 Sep 26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Part of A09 advance refunded by bank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3000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A11 Sep 28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Bank charge shown on bank advice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A12 Sep 29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Equipment bought and paid through bank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5000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5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Doc ID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Debit account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Credit account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INR</w:t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A08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A09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A10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A11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A12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5</w:t>
      </w:r>
    </w:p>
    <w:p>
      <w:pPr>
        <w:pStyle w:val="Heading1"/>
      </w:pPr>
      <w:r>
        <w:t>Working sheets continued</w:t>
      </w:r>
    </w:p>
    <w:p>
      <w:pPr>
        <w:pStyle w:val="Heading3"/>
      </w:pPr>
      <w:r>
        <w:t>Evidence exceptions and classifications to explain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5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Pair a preparer with a reviewer. Each student explains two entries without AI. The reviewer challenges why equipment is not treated as a current operating expense.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Using Case A and this supplied chart of accounts, propose journal entries in columns source ID, debit, credit, amount and reason. Use REVIEW when a required document or policy is missing. Do not invent tax, depreciation or account codes.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5</w:t>
      </w:r>
    </w:p>
    <w:p>
      <w:pPr>
        <w:pStyle w:val="Heading1"/>
      </w:pPr>
      <w:r>
        <w:t>Submission and assessment</w:t>
      </w:r>
    </w:p>
    <w:p>
      <w:r>
        <w:t>Name your files StudentID_S05_v01.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05 Accounting Transactions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