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08</w:t>
      </w:r>
    </w:p>
    <w:p>
      <w:pPr>
        <w:pStyle w:val="Title"/>
      </w:pPr>
      <w:r>
        <w:t>Bank Reconciliation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Match book and bank records; separate timing differences from errors and record adjustments.</w:t>
      </w:r>
    </w:p>
    <w:p>
      <w:r>
        <w:rPr>
          <w:b/>
        </w:rPr>
        <w:t xml:space="preserve">Submit  </w:t>
      </w:r>
      <w:r>
        <w:t>Bank reconciliation and exception report. Keep your individual working file and any source or formula evidence.</w:t>
      </w:r>
    </w:p>
    <w:p>
      <w:pPr>
        <w:pStyle w:val="Heading2"/>
      </w:pPr>
      <w:r>
        <w:t>Case study</w:t>
      </w:r>
    </w:p>
    <w:p>
      <w:r>
        <w:t>Case C October snapshot: unadjusted cash book INR 87,500 debit; bank statement INR 83,200 credit balance. Statement shows bank charge INR 500 and interest INR 200 absent from books. A customer deposit INR 10,000 is in books but not bank; a supplier payment INR 6,000 is in books but not yet debited by bank. No other differences exist.</w:t>
      </w:r>
    </w:p>
    <w:p>
      <w:pPr>
        <w:pStyle w:val="Heading2"/>
      </w:pPr>
      <w:r>
        <w:t>Concept briefing</w:t>
      </w:r>
    </w:p>
    <w:p>
      <w:r>
        <w:t>First update the books for genuine bank-only items. Then reconcile timing differences without recording them twice. State the starting perspective and sign convention. An unexplained plug is not a reconciliation.</w:t>
      </w:r>
    </w:p>
    <w:p>
      <w:r>
        <w:rPr>
          <w:b/>
        </w:rPr>
        <w:t xml:space="preserve">Small worked example  </w:t>
      </w:r>
      <w:r>
        <w:t>In a separate example, adjusted book balance 20,000 plus an unpresented payment 3,000 less a deposit in transit 5,000 gives statement balance 18,000.</w:t>
      </w:r>
    </w:p>
    <w:p>
      <w:pPr>
        <w:pStyle w:val="Heading2"/>
      </w:pPr>
      <w:r>
        <w:t>Your assignment</w:t>
      </w:r>
    </w:p>
    <w:p>
      <w:r>
        <w:t>Calculate adjusted book bank, bridge it to the statement and show a zero difference. Draft the two journal entries. Create an exception log with source, owner and follow-up date.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SESSION 8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Book to bank bridge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Sign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Amount INR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Unadjusted cash book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Book adjustment 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Book adjustment 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Adjusted cash book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Timing item 1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Timing item 2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Calculated statement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Actual statement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Unexplained difference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8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Adjustment journal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Debit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Credit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INR</w:t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Followup owner and source for timing items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8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A reviewer asks you to post the INR 10,000 deposit again. Explain why that would be wrong. Start Independent Practice 2 with the independent variant.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Build a reconciliation from Case C with separate book adjustments and timing differences. Show the starting perspective and signs. List the journal entries only for book adjustments. Leave unexplained differences visible; do not create balancing entries.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ISSUED AFTER SESSION 8</w:t>
      </w:r>
    </w:p>
    <w:p>
      <w:pPr>
        <w:pStyle w:val="Heading1"/>
      </w:pPr>
      <w:r>
        <w:t>Independent practice 02</w:t>
      </w:r>
    </w:p>
    <w:p>
      <w:pPr>
        <w:pStyle w:val="Heading2"/>
      </w:pPr>
      <w:r>
        <w:t>Independent reconciliation</w:t>
      </w:r>
    </w:p>
    <w:p>
      <w:r>
        <w:t>Books 52,000; bank statement 55,300. Bank fee 300 and interest 100 are absent from books. Unpresented payment 5,500; deposit in transit 2,000. No other differences.</w:t>
      </w:r>
    </w:p>
    <w:p>
      <w:r>
        <w:rPr>
          <w:b/>
        </w:rPr>
        <w:t xml:space="preserve">Required output  </w:t>
      </w:r>
      <w:r>
        <w:t>Prepare adjusted books, statement bridge, two journals and a two-item follow-up log. Include formula text or transparent arithmetic and a 60-word manager note.</w:t>
      </w:r>
    </w:p>
    <w:p>
      <w:r>
        <w:rPr>
          <w:b/>
        </w:rPr>
        <w:t xml:space="preserve">Marks  </w:t>
      </w:r>
      <w:r>
        <w:t>Adjusted books and bridge 4; journals 2; timing classification 2; reproducibility and status update 2.</w:t>
      </w:r>
    </w:p>
    <w:p>
      <w:r>
        <w:t>Allow 90 minutes. Faculty confirms the deadline before release, normally five working days later. Acknowledge within the agreed availability window and escalate blockers before the deadline.</w:t>
      </w:r>
    </w:p>
    <w:p>
      <w:pPr>
        <w:pStyle w:val="Heading3"/>
      </w:pPr>
      <w:r>
        <w:t>Plan and working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Status update and evidence reference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8</w:t>
      </w:r>
    </w:p>
    <w:p>
      <w:pPr>
        <w:pStyle w:val="Heading1"/>
      </w:pPr>
      <w:r>
        <w:t>Submission and assessment</w:t>
      </w:r>
    </w:p>
    <w:p>
      <w:r>
        <w:t>Name your files StudentID_S08_v01.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08 Bank Reconciliation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