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16</w:t>
      </w:r>
    </w:p>
    <w:p>
      <w:pPr>
        <w:pStyle w:val="Title"/>
      </w:pPr>
      <w:r>
        <w:t>Commercial Decision Making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Compare pricing and discount scenarios; calculate contribution, break-even and capacity effects.</w:t>
      </w:r>
    </w:p>
    <w:p>
      <w:r>
        <w:rPr>
          <w:b/>
        </w:rPr>
        <w:t xml:space="preserve">Submit  </w:t>
      </w:r>
      <w:r>
        <w:t>Scenario model and decision memo. Keep your individual working file and any source or formula evidence.</w:t>
      </w:r>
    </w:p>
    <w:p>
      <w:pPr>
        <w:pStyle w:val="Heading2"/>
      </w:pPr>
      <w:r>
        <w:t>Case study</w:t>
      </w:r>
    </w:p>
    <w:p>
      <w:r>
        <w:t>An internal management-only scenario offers a service at net price INR 10,000, variable delivery cost INR 4,000 and fixed cohort cost INR 120,000. Demand is 25 seats; capacity is 30. A 10% discount may raise demand to 30. Ignore tax and collection timing for this scenario.</w:t>
      </w:r>
    </w:p>
    <w:p>
      <w:pPr>
        <w:pStyle w:val="Heading2"/>
      </w:pPr>
      <w:r>
        <w:t>Concept briefing</w:t>
      </w:r>
    </w:p>
    <w:p>
      <w:r>
        <w:t>Contribution per unit = net price minus variable cost. Break-even units = fixed costs / unit contribution, rounded up for whole units. Capacity limits can make a discount unable to improve profit.</w:t>
      </w:r>
    </w:p>
    <w:p>
      <w:r>
        <w:rPr>
          <w:b/>
        </w:rPr>
        <w:t xml:space="preserve">Small worked example  </w:t>
      </w:r>
      <w:r>
        <w:t>At net price 5,000 and variable cost 2,000, contribution is 3,000; fixed cost 60,000 requires 20 units to break even.</w:t>
      </w:r>
    </w:p>
    <w:p>
      <w:pPr>
        <w:pStyle w:val="Heading2"/>
      </w:pPr>
      <w:r>
        <w:t>Your assignment</w:t>
      </w:r>
    </w:p>
    <w:p>
      <w:r>
        <w:t>Compare baseline 25 seats and discounted 30 seats. Calculate contribution, break-even seats and profit. Determine the minimum discounted seats to match baseline profit and whether the proposal should be approved.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SESSION 16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Discount case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Net price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Variable cost per seat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Contribution per seat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Fixed costs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Expected seats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Break even seats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profit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Seats to match baseline profit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16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Demand sensitivity and capacity test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Decision and condition for approval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16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Sales argues that revenue growth is enough. Finance challenges the capacity and demand assumptions. Write a decision memo with a condition under which you would change your view. Launch Independent Practice 4.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Compare the baseline and discount case using the supplied price, variable cost, fixed cost, expected demand and capacity. Show contribution, break-even and profit. Do not invent demand elasticity. Identify the capacity constraint and a downside scenario.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ISSUED AFTER SESSION 16</w:t>
      </w:r>
    </w:p>
    <w:p>
      <w:pPr>
        <w:pStyle w:val="Heading1"/>
      </w:pPr>
      <w:r>
        <w:t>Independent practice 04</w:t>
      </w:r>
    </w:p>
    <w:p>
      <w:pPr>
        <w:pStyle w:val="Heading2"/>
      </w:pPr>
      <w:r>
        <w:t>Discount sensitivity</w:t>
      </w:r>
    </w:p>
    <w:p>
      <w:r>
        <w:t>Use Session 16 price, cost and capacity. Discounted demand reaches only 28 seats. Marketing proposes extra spend INR 6,000. Treat marketing as additional fixed cost.</w:t>
      </w:r>
    </w:p>
    <w:p>
      <w:r>
        <w:rPr>
          <w:b/>
        </w:rPr>
        <w:t xml:space="preserve">Required output  </w:t>
      </w:r>
      <w:r>
        <w:t>Calculate profit before and after extra marketing; compare with baseline 30,000 profit. State the capacity-constrained decision and a condition required before approval.</w:t>
      </w:r>
    </w:p>
    <w:p>
      <w:r>
        <w:rPr>
          <w:b/>
        </w:rPr>
        <w:t xml:space="preserve">Marks  </w:t>
      </w:r>
      <w:r>
        <w:t>Calculations and comparison 4; capacity logic 2; assumptions and decision 2; evidence and timely note 2.</w:t>
      </w:r>
    </w:p>
    <w:p>
      <w:r>
        <w:t>Allow 90 minutes. Faculty confirms the deadline before release, normally five working days later. Acknowledge within the agreed availability window and escalate blockers before the deadline.</w:t>
      </w:r>
    </w:p>
    <w:p>
      <w:pPr>
        <w:pStyle w:val="Heading3"/>
      </w:pPr>
      <w:r>
        <w:t>Plan and working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Status update and evidence reference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16</w:t>
      </w:r>
    </w:p>
    <w:p>
      <w:pPr>
        <w:pStyle w:val="Heading1"/>
      </w:pPr>
      <w:r>
        <w:t>Submission and assessment</w:t>
      </w:r>
    </w:p>
    <w:p>
      <w:r>
        <w:t>Name your files StudentID_S16_v01.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16 Commercial Decision Making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