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20</w:t>
      </w:r>
    </w:p>
    <w:p>
      <w:pPr>
        <w:pStyle w:val="Title"/>
      </w:pPr>
      <w:r>
        <w:t>Management Review and Change Control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Present the prototype, assess an approved change and revise outputs with a clear audit trail.</w:t>
      </w:r>
    </w:p>
    <w:p>
      <w:r>
        <w:rPr>
          <w:b/>
        </w:rPr>
        <w:t xml:space="preserve">Submit  </w:t>
      </w:r>
      <w:r>
        <w:t>Revised solution and change log. Keep your individual working file and any source or formula evidence.</w:t>
      </w:r>
    </w:p>
    <w:p>
      <w:pPr>
        <w:pStyle w:val="Heading2"/>
      </w:pPr>
      <w:r>
        <w:t>Case study</w:t>
      </w:r>
    </w:p>
    <w:p>
      <w:r>
        <w:t>For the capstone, management now approves an INR 5,000 credit note against Beacon invoice F02 and a rescheduling of INR 8,000 supplier payment beyond the next seven days. These are approved case instructions; no customer cash has been received. The as-of date stays 31 October.</w:t>
      </w:r>
    </w:p>
    <w:p>
      <w:pPr>
        <w:pStyle w:val="Heading2"/>
      </w:pPr>
      <w:r>
        <w:t>Concept briefing</w:t>
      </w:r>
    </w:p>
    <w:p>
      <w:r>
        <w:t>A change request records authority, reason, affected outputs and retests. A credit note reduces the receivable; it does not collect cash. A payment deferral changes the forecast timing, not the historical expense automatically.</w:t>
      </w:r>
    </w:p>
    <w:p>
      <w:r>
        <w:rPr>
          <w:b/>
        </w:rPr>
        <w:t xml:space="preserve">Small worked example  </w:t>
      </w:r>
      <w:r>
        <w:t>If a 12,000 debtor balance receives an approved 2,000 credit note, outstanding becomes 10,000 and bank is unchanged.</w:t>
      </w:r>
    </w:p>
    <w:p>
      <w:pPr>
        <w:pStyle w:val="Heading2"/>
      </w:pPr>
      <w:r>
        <w:t>Your assignment</w:t>
      </w:r>
    </w:p>
    <w:p>
      <w:r>
        <w:t>Prepare a change-impact note and version 2. Recalculate totals, affected buckets and the seven-day cash gap. Retest all unchanged controls and issue a concise manager update.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F Receivables and cash release</w:t>
      </w:r>
    </w:p>
    <w:p>
      <w:r>
        <w:t>Use in Sessions 12 and 17-20. As-of date 31 October 2026. Dates ISO; INR. Amounts are outstanding invoice totals, not taxable values. All invoices are unpaid. Bank 25,000; unavoidable seven-day outflows 45,000. Beacon disputes 5,000 within F02. No credit note has yet been approved in version 1. Contacts are role labels only.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Outstanding INR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2026-10-31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Beacon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Cedar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2026-09-16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Delta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2026-08-17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40000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20</w:t>
      </w:r>
    </w:p>
    <w:p>
      <w:pPr>
        <w:pStyle w:val="Heading1"/>
      </w:pPr>
      <w:r>
        <w:t>Supporting brief</w:t>
      </w:r>
    </w:p>
    <w:p>
      <w:r>
        <w:t>Client brief: The fictional Vayentra Labs founder needs a repeatable receivables-ageing model, seven-day cash view, dispute queue and handover. Start from Case F version 1. All four invoices must appear once. Due-today invoices are Current. A new as-of date must refresh buckets. Duplicates and blank amounts must trigger review. No valid join connects Case F invoices to Case G leads.</w:t>
      </w:r>
    </w:p>
    <w:p>
      <w:r>
        <w:t>Project scope: up to six extra individual hours. Deadline is ten working days after Session 17, as confirmed by faculty. Draft recommendations only. Preserve version 1; apply the approved credit and deferral only in Session 20. Never import the separate Practice 03 receipt into this capstone.</w:t>
      </w:r>
    </w:p>
    <w:p>
      <w:pPr>
        <w:pStyle w:val="Heading3"/>
      </w:pPr>
      <w:r>
        <w:t>Questions to clarify before you begin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20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Approved change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Affected output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Credit note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Supplier deferral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Version 1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Version 2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Outstanding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Overdue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Bank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Seven day outflow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Cash gap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20</w:t>
      </w:r>
    </w:p>
    <w:p>
      <w:pPr>
        <w:pStyle w:val="Heading1"/>
      </w:pPr>
      <w:r>
        <w:t>Working sheets continued</w:t>
      </w:r>
    </w:p>
    <w:p>
      <w:pPr>
        <w:pStyle w:val="Heading3"/>
      </w:pPr>
      <w:r>
        <w:t>Regression test and version reference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Manager update and remaining uncertainty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20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Client asks you to delete version 1 to avoid confusion. Explain the version record and publish a clearly labelled final file while preserving the original. Launch Independent Practice 5.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Compare capstone versions 1 and 2 using the two approved changes only. List changed balances, unchanged balances and required regression tests. Explain why the credit note does not represent a cash receipt. Preserve version 1.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ISSUED AFTER SESSION 20</w:t>
      </w:r>
    </w:p>
    <w:p>
      <w:pPr>
        <w:pStyle w:val="Heading1"/>
      </w:pPr>
      <w:r>
        <w:t>Independent practice 05</w:t>
      </w:r>
    </w:p>
    <w:p>
      <w:pPr>
        <w:pStyle w:val="Heading2"/>
      </w:pPr>
      <w:r>
        <w:t>Controlled change delivery</w:t>
      </w:r>
    </w:p>
    <w:p>
      <w:r>
        <w:t>Apply only the Session 20 approved credit note 5,000 and supplier deferral 8,000 to Case F version 1. Do not carry across Practice 03 collection; that was a separate variant.</w:t>
      </w:r>
    </w:p>
    <w:p>
      <w:r>
        <w:rPr>
          <w:b/>
        </w:rPr>
        <w:t xml:space="preserve">Required output  </w:t>
      </w:r>
      <w:r>
        <w:t>Submit version 2, linked approval note, changed-output list, five regression tests and a 90-word update. State explicitly that no new cash was collected.</w:t>
      </w:r>
    </w:p>
    <w:p>
      <w:r>
        <w:rPr>
          <w:b/>
        </w:rPr>
        <w:t xml:space="preserve">Marks  </w:t>
      </w:r>
      <w:r>
        <w:t>Changed balances and gap 4; version and approval trail 2; tests 2; clear status and limitations 2.</w:t>
      </w:r>
    </w:p>
    <w:p>
      <w:r>
        <w:t>Allow 90 minutes. Faculty confirms the deadline before release, normally five working days later. Acknowledge within the agreed availability window and escalate blockers before the deadline.</w:t>
      </w:r>
    </w:p>
    <w:p>
      <w:pPr>
        <w:pStyle w:val="Heading3"/>
      </w:pPr>
      <w:r>
        <w:t>Plan and working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Status update and evidence reference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20</w:t>
      </w:r>
    </w:p>
    <w:p>
      <w:pPr>
        <w:pStyle w:val="Heading1"/>
      </w:pPr>
      <w:r>
        <w:t>Submission and assessment</w:t>
      </w:r>
    </w:p>
    <w:p>
      <w:r>
        <w:t>Name your files StudentID_S20_v01.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20 Management Review and Change Control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