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23</w:t>
      </w:r>
    </w:p>
    <w:p>
      <w:pPr>
        <w:pStyle w:val="Title"/>
      </w:pPr>
      <w:r>
        <w:t>Corporate Presentation Preparation</w:t>
      </w:r>
    </w:p>
    <w:p>
      <w:r>
        <w:t>Student case study and worksheet pack</w:t>
      </w:r>
    </w:p>
    <w:p>
      <w:r>
        <w:rPr>
          <w:b/>
        </w:rPr>
        <w:t xml:space="preserve">Student ID  </w:t>
      </w:r>
      <w:r>
        <w:t>____________________   Cohort ____________________   Date ______________</w:t>
      </w:r>
    </w:p>
    <w:p>
      <w:r>
        <w:rPr>
          <w:b/>
        </w:rPr>
        <w:t xml:space="preserve">Session outcome  </w:t>
      </w:r>
      <w:r>
        <w:t>Rehearse the business demonstration, defend recommendations and complete the evidence review.</w:t>
      </w:r>
    </w:p>
    <w:p>
      <w:r>
        <w:rPr>
          <w:b/>
        </w:rPr>
        <w:t xml:space="preserve">Submit  </w:t>
      </w:r>
      <w:r>
        <w:t>Presentation and executive summary. Keep your individual working file and any source or formula evidence.</w:t>
      </w:r>
    </w:p>
    <w:p>
      <w:pPr>
        <w:pStyle w:val="Heading2"/>
      </w:pPr>
      <w:r>
        <w:t>Case study</w:t>
      </w:r>
    </w:p>
    <w:p>
      <w:r>
        <w:t>Your squad receives seven minutes to present, three minutes for a working demonstration within that seven, then eight minutes of questions. A business reviewer needs to decide whether the output can be used under supervision.</w:t>
      </w:r>
    </w:p>
    <w:p>
      <w:pPr>
        <w:pStyle w:val="Heading2"/>
      </w:pPr>
      <w:r>
        <w:t>Concept briefing</w:t>
      </w:r>
    </w:p>
    <w:p>
      <w:r>
        <w:t>A strong demonstration shows a decision, input, check, output and limitation. A tested artifact is more persuasive than feature lists. Every team member must own a defensible contribution.</w:t>
      </w:r>
    </w:p>
    <w:p>
      <w:r>
        <w:rPr>
          <w:b/>
        </w:rPr>
        <w:t xml:space="preserve">Small worked example  </w:t>
      </w:r>
      <w:r>
        <w:t>A seven-minute structure: problem 1 minute; evidence 1; demonstration 3; recommendation 1; limitations and next step 1.</w:t>
      </w:r>
    </w:p>
    <w:p>
      <w:pPr>
        <w:pStyle w:val="Heading2"/>
      </w:pPr>
      <w:r>
        <w:t>Your assignment</w:t>
      </w:r>
    </w:p>
    <w:p>
      <w:r>
        <w:t>Prepare up to six slides and a one-page executive summary. Run a live refresh, check all portfolio permissions and rehearse answers to three challenge questions.</w:t>
      </w:r>
    </w:p>
    <w:p>
      <w:r>
        <w:t>Scheduled session: 135 minutes. Use INR for case amounts. All business records are fictional and separate case releases must not be combined unless instructed.</w:t>
      </w:r>
    </w:p>
    <w:p>
      <w:r>
        <w:br w:type="page"/>
      </w:r>
    </w:p>
    <w:p>
      <w:pPr>
        <w:pStyle w:val="Subtitle"/>
      </w:pPr>
      <w:r>
        <w:t>SOURCE RECORDS</w:t>
      </w:r>
    </w:p>
    <w:p>
      <w:pPr>
        <w:pStyle w:val="Heading1"/>
      </w:pPr>
      <w:r>
        <w:t>Case F Receivables and cash release</w:t>
      </w:r>
    </w:p>
    <w:p>
      <w:r>
        <w:t>Use in Sessions 12 and 17-20. As-of date 31 October 2026. Dates ISO; INR. Amounts are outstanding invoice totals, not taxable values. All invoices are unpaid. Bank 25,000; unavoidable seven-day outflows 45,000. Beacon disputes 5,000 within F02. No credit note has yet been approved in version 1. Contacts are role labels only.</w:t>
      </w:r>
    </w:p>
    <w:tbl>
      <w:tblPr>
        <w:tblW w:type="auto" w:w="0"/>
        <w:tblLayout w:type="fixed"/>
        <w:tblLook w:firstColumn="1" w:firstRow="1" w:lastColumn="0" w:lastRow="0" w:noHBand="0" w:noVBand="1" w:val="04A0"/>
      </w:tblPr>
      <w:tblGrid>
        <w:gridCol w:w="2538"/>
        <w:gridCol w:w="2538"/>
        <w:gridCol w:w="2538"/>
        <w:gridCol w:w="2538"/>
      </w:tblGrid>
      <w:tr>
        <w:trPr>
          <w:cantSplit/>
          <w:tblHeader/>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ID</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Customer</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Due date</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Outstanding INR</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F01</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Asha</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2026-10-31</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10000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F02</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Beacon</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2026-10-16</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F03</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Cedar</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2026-09-16</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30000</w:t>
            </w:r>
          </w:p>
        </w:tc>
      </w:tr>
      <w:tr>
        <w:trPr>
          <w:cantSplit/>
        </w:trPr>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F04</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Delta</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2026-08-17</w:t>
            </w:r>
          </w:p>
        </w:tc>
        <w:tc>
          <w:tcPr>
            <w:tcW w:type="dxa" w:w="25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40000</w:t>
            </w:r>
          </w:p>
        </w:tc>
      </w:tr>
    </w:tbl>
    <w:p>
      <w:pPr>
        <w:spacing w:after="0"/>
      </w:pPr>
    </w:p>
    <w:p>
      <w:r>
        <w:br w:type="page"/>
      </w:r>
    </w:p>
    <w:p>
      <w:pPr>
        <w:pStyle w:val="Subtitle"/>
      </w:pPr>
      <w:r>
        <w:t>SESSION 23</w:t>
      </w:r>
    </w:p>
    <w:p>
      <w:pPr>
        <w:pStyle w:val="Heading1"/>
      </w:pPr>
      <w:r>
        <w:t>Supporting brief</w:t>
      </w:r>
    </w:p>
    <w:p>
      <w:r>
        <w:t>Client brief: The fictional Vayentra Labs founder needs a repeatable receivables-ageing model, seven-day cash view, dispute queue and handover. Start from Case F version 1. All four invoices must appear once. Due-today invoices are Current. A new as-of date must refresh buckets. Duplicates and blank amounts must trigger review. No valid join connects Case F invoices to Case G leads.</w:t>
      </w:r>
    </w:p>
    <w:p>
      <w:r>
        <w:t>Project scope: up to six extra individual hours. Deadline is ten working days after Session 17, as confirmed by faculty. Draft recommendations only. Preserve version 1; apply the approved credit and deferral only in Session 20. Never import the separate Practice 03 receipt into this capstone.</w:t>
      </w:r>
    </w:p>
    <w:p>
      <w:r>
        <w:t>Approved Session 20 change: issue an INR 5,000 credit against F02 and defer INR 8,000 of supplier payments beyond the seven-day window. No new cash is received. Recalculate from Case F version 1 and keep an audit trail.</w:t>
      </w:r>
    </w:p>
    <w:p>
      <w:pPr>
        <w:pStyle w:val="Heading3"/>
      </w:pPr>
      <w:r>
        <w:t>Questions to clarify before you begin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23</w:t>
      </w:r>
    </w:p>
    <w:p>
      <w:pPr>
        <w:pStyle w:val="Heading1"/>
      </w:pPr>
      <w:r>
        <w:t>Your working sheets</w:t>
      </w:r>
    </w:p>
    <w:p>
      <w:pPr>
        <w:pStyle w:val="Heading3"/>
      </w:pPr>
      <w:r>
        <w:t>Working schedule</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Segment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shown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Owner and time</w:t>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Problem</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 evidence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Working demonstration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Recommendation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Limitations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Next step</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Challenge questions and corrections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Final review and offline fallback</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23</w:t>
      </w:r>
    </w:p>
    <w:p>
      <w:pPr>
        <w:pStyle w:val="Heading1"/>
      </w:pPr>
      <w:r>
        <w:t>Team review and AI record</w:t>
      </w:r>
    </w:p>
    <w:p>
      <w:pPr>
        <w:pStyle w:val="Heading2"/>
      </w:pPr>
      <w:r>
        <w:t>Squad activity</w:t>
      </w:r>
    </w:p>
    <w:p>
      <w:r>
        <w:t>Peer reviewers ask: What happens if a date is blank? Which result changed after feedback? What value is measured versus proposed? Record one correction before the final submission lock.</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Create a seven-minute presentation outline from the approved capstone evidence. Allocate three minutes to the working demonstration. Label every benefit measured, modelled or proposed. Include limitations and three likely reviewer questions. Do not invent client endorsement.</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SESSION 23</w:t>
      </w:r>
    </w:p>
    <w:p>
      <w:pPr>
        <w:pStyle w:val="Heading1"/>
      </w:pPr>
      <w:r>
        <w:t>Submission and assessment</w:t>
      </w:r>
    </w:p>
    <w:p>
      <w:r>
        <w:t>Name your files StudentID_S23_v01.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23 Corporate Presentation Preparation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