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GreenSettle</w:t>
      </w:r>
    </w:p>
    <w:p>
      <w:r>
        <w:rPr>
          <w:i w:val="0"/>
        </w:rPr>
        <w:t>Carbon credits for cloud workloads, settled after the run from measured energy</w:t>
      </w:r>
    </w:p>
    <w:p>
      <w:r>
        <w:rPr>
          <w:i/>
        </w:rPr>
        <w:t>TODO: author name · student number · course · date</w:t>
      </w:r>
    </w:p>
    <w:p>
      <w:pPr>
        <w:pStyle w:val="Heading1"/>
      </w:pPr>
      <w:r>
        <w:t>Contents</w:t>
      </w:r>
    </w:p>
    <w:p>
      <w:r>
        <w:fldChar w:fldCharType="begin"/>
        <w:instrText xml:space="preserve">TOC \o "1-2" \h \z \u</w:instrText>
        <w:fldChar w:fldCharType="separate"/>
        <w:t>Open in Word and update fields to build the table of contents.</w:t>
        <w:fldChar w:fldCharType="end"/>
      </w:r>
    </w:p>
    <w:p>
      <w:pPr>
        <w:sectPr>
          <w:footerReference w:type="default" r:id="rId9"/>
          <w:pgSz w:w="12240" w:h="15840"/>
          <w:pgMar w:top="1247" w:right="1304" w:bottom="1247" w:left="1304" w:header="720" w:footer="720" w:gutter="0"/>
          <w:cols w:space="720"/>
          <w:docGrid w:linePitch="360"/>
        </w:sectPr>
      </w:pPr>
    </w:p>
    <w:p>
      <w:pPr>
        <w:pStyle w:val="Heading1"/>
      </w:pPr>
      <w:r>
        <w:t>Abstract</w:t>
      </w:r>
    </w:p>
    <w:p>
      <w:r>
        <w:rPr>
          <w:i w:val="0"/>
        </w:rPr>
        <w:t>GreenSettle schedules batch jobs into greener time slots and settles carbon credits after each job has run, from the energy that was actually measured. A worker on a laptop measures the CPU package energy of each job with LibreHardwareMonitor and attributes it by CPU time, with an uncertainty estimate. The server compares the job with the same job started at submission time, using actual grid data, propagates the measurement and intensity uncertainties into the saving, and pays a capped rebate only for the part of the saving that lies beyond k standard uncertainties (a dead zone). The grid, the forecast and the noise models are simulated. E3 (simulated grid and forecast, 10 % forecast error, z = 1): -12.3 % gCO2e per job with 6 h tolerance (mean wait 2.1 h), -24.0 % with 12 h; 15% and 6% of deferrals backfired. E4 (simulated 10 % noise): at k = 1 a rebate went to 14.9% of jobs with no real saving (k = 0: 50.4%), and to 71.5% / 99.2% of jobs with a true 20 % / 40 % saving. Gaming table (simulated): no ex-post job earned credits (lowest net 0.20 credits); the simplified ex-ante strawman paid 2 job(s) to run. E1 repeatability on the real laptop: PENDING (run on the laptop).</w:t>
      </w:r>
    </w:p>
    <w:p>
      <w:r>
        <w:rPr>
          <w:i w:val="0"/>
        </w:rPr>
        <w:t>The contribution claimed is narrow: ex-post counterfactual settlement with propagated measurement uncertainty and a dead zone. Only a limited literature search was done; related work is incomplete.</w:t>
      </w:r>
    </w:p>
    <w:p>
      <w:pPr>
        <w:pStyle w:val="Heading1"/>
      </w:pPr>
      <w:r>
        <w:t>1. Problem</w:t>
      </w:r>
    </w:p>
    <w:p>
      <w:r>
        <w:rPr>
          <w:i/>
        </w:rPr>
        <w:t>TODO: quote the exact wording of Challenge 10 and Challenge 8 from the course brief here.</w:t>
      </w:r>
    </w:p>
    <w:p>
      <w:r>
        <w:rPr>
          <w:i w:val="0"/>
        </w:rPr>
        <w:t>Carbon-aware computing moves flexible work to hours when the electricity grid is cleaner. Incentives for such behaviour are usually granted from forecasts and estimates made before the work runs. Two questions are rarely answered afterwards: did the job really use the energy that was assumed, and was the moment it ran really cleaner than running it immediately? If rewards are paid on estimates, measurement noise and forecast errors can earn credits for savings that never happened.</w:t>
      </w:r>
    </w:p>
    <w:p>
      <w:r>
        <w:rPr>
          <w:i w:val="0"/>
        </w:rPr>
        <w:t>GreenSettle addresses this with three parts: measurement of each job's energy with an uncertainty (Phase 1), an append-only credit ledger with a settlement rule that only pays for savings beyond the noise (Phase 2), and a scheduler, API and worker that put both into a running system (Phase 3).</w:t>
      </w:r>
    </w:p>
    <w:p>
      <w:pPr>
        <w:pStyle w:val="Heading1"/>
      </w:pPr>
      <w:r>
        <w:t>2. Related work (short)</w:t>
      </w:r>
    </w:p>
    <w:p>
      <w:r>
        <w:rPr>
          <w:i w:val="0"/>
        </w:rPr>
        <w:t>Only a limited literature search was done; related work is incomplete. The references below were not re-checked against their sources and are marked [UNVERIFIED]; they must be verified before submission.</w:t>
      </w:r>
    </w:p>
    <w:p>
      <w:pPr>
        <w:pStyle w:val="ListBullet"/>
      </w:pPr>
      <w:r>
        <w:t>Temporal workload shifting in the cloud: Wiesner et al., "Let's Wait Awhile: How Temporal Workload Shifting Can Reduce Carbon Emissions in the Cloud", Middleware 2021. [UNVERIFIED]</w:t>
      </w:r>
    </w:p>
    <w:p>
      <w:pPr>
        <w:pStyle w:val="ListBullet"/>
      </w:pPr>
      <w:r>
        <w:t>Carbon-aware scheduling at datacenter scale: Radovanovic et al., "Carbon-Aware Computing for Datacenters", IEEE Transactions on Power Systems. [UNVERIFIED]</w:t>
      </w:r>
    </w:p>
    <w:p>
      <w:pPr>
        <w:pStyle w:val="ListBullet"/>
      </w:pPr>
      <w:r>
        <w:t>Per-software carbon accounting: Green Software Foundation, Software Carbon Intensity (SCI) specification. [UNVERIFIED]</w:t>
      </w:r>
    </w:p>
    <w:p>
      <w:pPr>
        <w:pStyle w:val="ListBullet"/>
      </w:pPr>
      <w:r>
        <w:t>Energy measurement with Intel RAPL: Khan et al., "RAPL in Action: Experiences in Using RAPL for Power Measurements", ACM TOMPECS 2018. [UNVERIFIED]</w:t>
      </w:r>
    </w:p>
    <w:p>
      <w:pPr>
        <w:pStyle w:val="ListBullet"/>
      </w:pPr>
      <w:r>
        <w:t>Uncertainty propagation: JCGM 100:2008, Guide to the expression of uncertainty in measurement (GUM). [UNVERIFIED]</w:t>
      </w:r>
    </w:p>
    <w:p>
      <w:r>
        <w:rPr>
          <w:i w:val="0"/>
        </w:rPr>
        <w:t>TODO, papers still to read:</w:t>
      </w:r>
    </w:p>
    <w:p>
      <w:pPr>
        <w:pStyle w:val="ListBullet"/>
      </w:pPr>
      <w:r>
        <w:t>TODO: counterfactual baselines and additionality in carbon-offset markets.</w:t>
      </w:r>
    </w:p>
    <w:p>
      <w:pPr>
        <w:pStyle w:val="ListBullet"/>
      </w:pPr>
      <w:r>
        <w:t>TODO: measurement and verification (M&amp;V) protocols for energy savings (e.g. IPMVP).</w:t>
      </w:r>
    </w:p>
    <w:p>
      <w:pPr>
        <w:pStyle w:val="ListBullet"/>
      </w:pPr>
      <w:r>
        <w:t>TODO: carbon-intensity forecasting accuracy (grid operators, Electricity Maps methodology).</w:t>
      </w:r>
    </w:p>
    <w:p>
      <w:pPr>
        <w:pStyle w:val="ListBullet"/>
      </w:pPr>
      <w:r>
        <w:t>TODO: any prior work on settling scheduling incentives ex post with uncertainty (to test the novelty claim).</w:t>
      </w:r>
    </w:p>
    <w:p>
      <w:pPr>
        <w:pStyle w:val="Heading1"/>
      </w:pPr>
      <w:r>
        <w:t>3. Design</w:t>
      </w:r>
    </w:p>
    <w:p>
      <w:pPr>
        <w:jc w:val="center"/>
      </w:pPr>
      <w:r>
        <w:drawing>
          <wp:inline xmlns:a="http://schemas.openxmlformats.org/drawingml/2006/main" xmlns:pic="http://schemas.openxmlformats.org/drawingml/2006/picture">
            <wp:extent cx="5580000" cy="2901600"/>
            <wp:docPr id="1" name="Picture 1"/>
            <wp:cNvGraphicFramePr>
              <a:graphicFrameLocks noChangeAspect="1"/>
            </wp:cNvGraphicFramePr>
            <a:graphic>
              <a:graphicData uri="http://schemas.openxmlformats.org/drawingml/2006/picture">
                <pic:pic>
                  <pic:nvPicPr>
                    <pic:cNvPr id="0" name="fig_a_architecture.png"/>
                    <pic:cNvPicPr/>
                  </pic:nvPicPr>
                  <pic:blipFill>
                    <a:blip r:embed="rId10"/>
                    <a:stretch>
                      <a:fillRect/>
                    </a:stretch>
                  </pic:blipFill>
                  <pic:spPr>
                    <a:xfrm>
                      <a:off x="0" y="0"/>
                      <a:ext cx="5580000" cy="2901600"/>
                    </a:xfrm>
                    <a:prstGeom prst="rect"/>
                  </pic:spPr>
                </pic:pic>
              </a:graphicData>
            </a:graphic>
          </wp:inline>
        </w:drawing>
      </w:r>
    </w:p>
    <w:p>
      <w:pPr>
        <w:pStyle w:val="Caption"/>
      </w:pPr>
      <w:r>
        <w:t>Figure 1: Architecture: the worker on the laptop pulls jobs; the server plans with choose_slot and settles measured energy into an append-only ledger.</w:t>
      </w:r>
    </w:p>
    <w:p>
      <w:pPr>
        <w:pStyle w:val="Heading2"/>
      </w:pPr>
      <w:r>
        <w:t>3.1 Measurement (Phase 1)</w:t>
      </w:r>
    </w:p>
    <w:p>
      <w:r>
        <w:rPr>
          <w:i w:val="0"/>
        </w:rPr>
        <w:t>The worker polls the CPU Package power from LibreHardwareMonitor about once per second and integrates it with the trapezoidal rule. Idle power is calibrated separately and subtracted; the remaining dynamic energy is attributed to the job by its share of busy CPU time (psutil, including child processes). The uncertainty combines sensor tolerance, sampling error, idle-baseline noise and attribution error in quadrature. The scope is the CPU package only.</w:t>
      </w:r>
    </w:p>
    <w:p>
      <w:pPr>
        <w:pStyle w:val="Heading2"/>
      </w:pPr>
      <w:r>
        <w:t>3.2 Settlement (Phase 2)</w:t>
      </w:r>
    </w:p>
    <w:p>
      <w:r>
        <w:rPr>
          <w:i w:val="0"/>
        </w:rPr>
        <w:t>compute_settlement (greensettle/settlement/rules.py) takes the job energy E ± dE, the counterfactual intensity i_submit (the same job started at submission, from actual grid data) and the intensity during the run i_run, each with an uncertainty:</w:t>
      </w:r>
    </w:p>
    <w:p>
      <w:pPr>
        <w:spacing w:after="0"/>
      </w:pPr>
      <w:r>
        <w:rPr>
          <w:rFonts w:ascii="Consolas" w:hAnsi="Consolas"/>
          <w:sz w:val="19"/>
        </w:rPr>
        <w:t>fee        = p · E · i_run                          (actual emissions)</w:t>
      </w:r>
    </w:p>
    <w:p>
      <w:pPr>
        <w:spacing w:after="0"/>
      </w:pPr>
      <w:r>
        <w:rPr>
          <w:rFonts w:ascii="Consolas" w:hAnsi="Consolas"/>
          <w:sz w:val="19"/>
        </w:rPr>
        <w:t>saved      = E · (i_submit − i_run)</w:t>
      </w:r>
    </w:p>
    <w:p>
      <w:pPr>
        <w:spacing w:after="0"/>
      </w:pPr>
      <w:r>
        <w:rPr>
          <w:rFonts w:ascii="Consolas" w:hAnsi="Consolas"/>
          <w:sz w:val="19"/>
        </w:rPr>
        <w:t>saved_unc  = √((dE·(i_submit − i_run))² + (E·u_submit)² + (E·u_run)²)</w:t>
      </w:r>
    </w:p>
    <w:p>
      <w:pPr>
        <w:spacing w:after="0"/>
      </w:pPr>
      <w:r>
        <w:rPr>
          <w:rFonts w:ascii="Consolas" w:hAnsi="Consolas"/>
          <w:sz w:val="19"/>
        </w:rPr>
        <w:t>saving     if saved − k·saved_unc &gt; 0:  rebate = min(ρ·p·(saved − k·saved_unc), γ·fee)</w:t>
      </w:r>
    </w:p>
    <w:p>
      <w:pPr>
        <w:spacing w:after="0"/>
      </w:pPr>
      <w:r>
        <w:rPr>
          <w:rFonts w:ascii="Consolas" w:hAnsi="Consolas"/>
          <w:sz w:val="19"/>
        </w:rPr>
        <w:t>backfire   elif −saved − k·saved_unc &gt; 0: surcharge = σ·p·(−saved − k·saved_unc)</w:t>
      </w:r>
    </w:p>
    <w:p>
      <w:pPr>
        <w:spacing w:after="0"/>
      </w:pPr>
      <w:r>
        <w:rPr>
          <w:rFonts w:ascii="Consolas" w:hAnsi="Consolas"/>
          <w:sz w:val="19"/>
        </w:rPr>
        <w:t>dead zone  otherwise: no rebate, no surcharge</w:t>
      </w:r>
    </w:p>
    <w:p>
      <w:pPr>
        <w:spacing w:after="0"/>
      </w:pPr>
      <w:r>
        <w:rPr>
          <w:rFonts w:ascii="Consolas" w:hAnsi="Consolas"/>
          <w:sz w:val="19"/>
        </w:rPr>
        <w:t>net        = fee + surcharge − rebate</w:t>
      </w:r>
    </w:p>
    <w:p/>
    <w:p>
      <w:r>
        <w:rPr>
          <w:i w:val="0"/>
        </w:rPr>
        <w:t>Because the rebate is at most γ·fee with γ &lt; 1, a job with a positive fee always has a positive net cost, so running jobs cannot earn credits. Rebates are paid on the pessimistic saving, so a noise-sized saving earns nothing.</w:t>
      </w:r>
    </w:p>
    <w:p>
      <w:pPr>
        <w:jc w:val="center"/>
      </w:pPr>
      <w:r>
        <w:drawing>
          <wp:inline xmlns:a="http://schemas.openxmlformats.org/drawingml/2006/main" xmlns:pic="http://schemas.openxmlformats.org/drawingml/2006/picture">
            <wp:extent cx="5580000" cy="2604000"/>
            <wp:docPr id="2" name="Picture 2"/>
            <wp:cNvGraphicFramePr>
              <a:graphicFrameLocks noChangeAspect="1"/>
            </wp:cNvGraphicFramePr>
            <a:graphic>
              <a:graphicData uri="http://schemas.openxmlformats.org/drawingml/2006/picture">
                <pic:pic>
                  <pic:nvPicPr>
                    <pic:cNvPr id="0" name="fig_b_deadzone.png"/>
                    <pic:cNvPicPr/>
                  </pic:nvPicPr>
                  <pic:blipFill>
                    <a:blip r:embed="rId11"/>
                    <a:stretch>
                      <a:fillRect/>
                    </a:stretch>
                  </pic:blipFill>
                  <pic:spPr>
                    <a:xfrm>
                      <a:off x="0" y="0"/>
                      <a:ext cx="5580000" cy="2604000"/>
                    </a:xfrm>
                    <a:prstGeom prst="rect"/>
                  </pic:spPr>
                </pic:pic>
              </a:graphicData>
            </a:graphic>
          </wp:inline>
        </w:drawing>
      </w:r>
    </w:p>
    <w:p>
      <w:pPr>
        <w:pStyle w:val="Caption"/>
      </w:pPr>
      <w:r>
        <w:t>Figure 2: Dead zone: a rebate is paid only if the whole band lies above zero, and a backfire is declared only if it lies below zero (worked examples A, C, D, computed by compute_settlement).</w:t>
      </w:r>
    </w:p>
    <w:p>
      <w:r>
        <w:rPr>
          <w:i w:val="0"/>
        </w:rPr>
        <w:t>The ledger is append-only (SQLite triggers block UPDATE and DELETE), stores integer micro-credits, rounds every amount against the user, applies a lazy half-life decay before each balance-changing write, and derives a tier (red, standard, green) from the balance after decay.</w:t>
      </w:r>
    </w:p>
    <w:p>
      <w:pPr>
        <w:pStyle w:val="Heading2"/>
      </w:pPr>
      <w:r>
        <w:t>3.3 Scheduling (Phase 3)</w:t>
      </w:r>
    </w:p>
    <w:p>
      <w:r>
        <w:rPr>
          <w:i w:val="0"/>
        </w:rPr>
        <w:t>choose_slot (greensettle/scheduler/slots.py) plans each job once at submission. It asks the forecast for every 30-minute start inside the user's wait window, picks the lowest forecast (earliest on ties), and defers only if the forecast saving exceeds defer_z combined forecast uncertainties; otherwise the job starts now. Ready jobs are dispatched by overdue first (a starvation guard), then tier priority, planned start and submission order, within global and per-tier concurrency limits. The server runs on a simulated clock so that a day of grid variation fits in a demonstration.</w:t>
      </w:r>
    </w:p>
    <w:p>
      <w:pPr>
        <w:pStyle w:val="Heading1"/>
      </w:pPr>
      <w:r>
        <w:t>4. Implementation</w:t>
      </w:r>
    </w:p>
    <w:p>
      <w:pPr>
        <w:pStyle w:val="ListBullet"/>
      </w:pPr>
      <w:r>
        <w:t>Python 3.11+, standard library plus psutil; FastAPI and uvicorn for the server; SQLite with versioned migrations (PRAGMA user_version).</w:t>
      </w:r>
    </w:p>
    <w:p>
      <w:pPr>
        <w:pStyle w:val="ListBullet"/>
      </w:pPr>
      <w:r>
        <w:t>greensettle/agent: LibreHardwareMonitor client, meter, worker. greensettle/ledger: migrations, ledger, decay, allowance, settle_job, CLI. greensettle/scheduler: slots, planner, dispatch, queue. greensettle/server: API, clock, dashboard.</w:t>
      </w:r>
    </w:p>
    <w:p>
      <w:pPr>
        <w:pStyle w:val="ListBullet"/>
      </w:pPr>
      <w:r>
        <w:t>The worker pulls work (POST /agent/claim) so the laptop can sit behind NAT; claims are atomic (BEGIN IMMEDIATE) and leased; an expired lease requeues a job once.</w:t>
      </w:r>
    </w:p>
    <w:p>
      <w:pPr>
        <w:pStyle w:val="ListBullet"/>
      </w:pPr>
      <w:r>
        <w:t>A single-file dashboard (no external resources) shows the simulated grid, live power, the queue with candidate slots, settlements and balances.</w:t>
      </w:r>
    </w:p>
    <w:p>
      <w:pPr>
        <w:pStyle w:val="ListBullet"/>
      </w:pPr>
      <w:r>
        <w:t>The test suite runs without hardware (mock sensor, fake clock); hardware tests are opt-in.</w:t>
      </w:r>
    </w:p>
    <w:p>
      <w:pPr>
        <w:pStyle w:val="Heading1"/>
      </w:pPr>
      <w:r>
        <w:t>5. Security model</w:t>
      </w:r>
    </w:p>
    <w:p>
      <w:pPr>
        <w:pStyle w:val="ListBullet"/>
      </w:pPr>
      <w:r>
        <w:t>Jobs are never commands: {job_type, params} from a fixed catalog with integer parameters in hard ranges. The worker re-validates and builds a fixed argv itself; no shell, no user strings reach a process; burn jobs are capped at 60 s for thermal safety.</w:t>
      </w:r>
    </w:p>
    <w:p>
      <w:pPr>
        <w:pStyle w:val="ListBullet"/>
      </w:pPr>
      <w:r>
        <w:t>Authentication: per-user API keys (32 random bytes, shown once, stored as SHA-256); agent and admin tokens only from environment variables; constant-time comparison.</w:t>
      </w:r>
    </w:p>
    <w:p>
      <w:pPr>
        <w:pStyle w:val="ListBullet"/>
      </w:pPr>
      <w:r>
        <w:t>Limits: queued jobs per user, request body size, strict request models that reject unknown fields, wrong types and NaN; error responses do not echo input.</w:t>
      </w:r>
    </w:p>
    <w:p>
      <w:pPr>
        <w:pStyle w:val="ListBullet"/>
      </w:pPr>
      <w:r>
        <w:t>Network: binds to 127.0.0.1 unless told otherwise; remote use needs HTTPS or an SSH tunnel.</w:t>
      </w:r>
    </w:p>
    <w:p>
      <w:pPr>
        <w:pStyle w:val="ListBullet"/>
      </w:pPr>
      <w:r>
        <w:t>Trust model: the server trusts the worker's energy numbers. Measurement attestation is out of scope; a dishonest worker could lie.</w:t>
      </w:r>
    </w:p>
    <w:p>
      <w:pPr>
        <w:pStyle w:val="Heading1"/>
      </w:pPr>
      <w:r>
        <w:t>6. Experiments and results</w:t>
      </w:r>
    </w:p>
    <w:p>
      <w:r>
        <w:rPr>
          <w:i w:val="0"/>
        </w:rPr>
        <w:t>E1 runs on the real laptop. E3, E4 and the gaming table are simulations: the grid curve, the forecast error and the measurement noise are simulated, and are labelled so below.</w:t>
      </w:r>
    </w:p>
    <w:p>
      <w:pPr>
        <w:pStyle w:val="Heading2"/>
      </w:pPr>
      <w:r>
        <w:t>6.1 E1: measurement repeatability (real laptop)</w:t>
      </w:r>
    </w:p>
    <w:p>
      <w:r>
        <w:rPr>
          <w:b/>
          <w:color w:val="D03B3B"/>
        </w:rPr>
        <w:t>E1: PENDING (run on the laptop). Command: python experiments/e1_repeatability.py --repeats 6 --seconds 20 --workers 1,4</w:t>
      </w:r>
    </w:p>
    <w:p>
      <w:pPr>
        <w:pStyle w:val="Heading2"/>
      </w:pPr>
      <w:r>
        <w:t>6.2 E3: scheduling benefit (simulated)</w:t>
      </w:r>
    </w:p>
    <w:p>
      <w:pPr>
        <w:jc w:val="center"/>
      </w:pPr>
      <w:r>
        <w:drawing>
          <wp:inline xmlns:a="http://schemas.openxmlformats.org/drawingml/2006/main" xmlns:pic="http://schemas.openxmlformats.org/drawingml/2006/picture">
            <wp:extent cx="5580000" cy="3208500"/>
            <wp:docPr id="3" name="Picture 3"/>
            <wp:cNvGraphicFramePr>
              <a:graphicFrameLocks noChangeAspect="1"/>
            </wp:cNvGraphicFramePr>
            <a:graphic>
              <a:graphicData uri="http://schemas.openxmlformats.org/drawingml/2006/picture">
                <pic:pic>
                  <pic:nvPicPr>
                    <pic:cNvPr id="0" name="fig_c_e3.png"/>
                    <pic:cNvPicPr/>
                  </pic:nvPicPr>
                  <pic:blipFill>
                    <a:blip r:embed="rId12"/>
                    <a:stretch>
                      <a:fillRect/>
                    </a:stretch>
                  </pic:blipFill>
                  <pic:spPr>
                    <a:xfrm>
                      <a:off x="0" y="0"/>
                      <a:ext cx="5580000" cy="3208500"/>
                    </a:xfrm>
                    <a:prstGeom prst="rect"/>
                  </pic:spPr>
                </pic:pic>
              </a:graphicData>
            </a:graphic>
          </wp:inline>
        </w:drawing>
      </w:r>
    </w:p>
    <w:p>
      <w:pPr>
        <w:pStyle w:val="Caption"/>
      </w:pPr>
      <w:r>
        <w:t>Figure 3: E3 (simulated grid and forecast): emissions per job relative to running immediately, choose_slot with defer_z = 1, 504 jobs over 7 days.</w:t>
      </w:r>
    </w:p>
    <w:p>
      <w:pPr>
        <w:pStyle w:val="Caption"/>
      </w:pPr>
      <w:r>
        <w:t>Table 1: E3 at 10 % simulated forecast error (full grid of settings in experiments/results/e3.csv).</w:t>
      </w:r>
    </w:p>
    <w:tbl>
      <w:tblPr>
        <w:tblStyle w:val="TableGrid"/>
        <w:tblW w:type="auto" w:w="0"/>
        <w:tblLook w:firstColumn="1" w:firstRow="1" w:lastColumn="0" w:lastRow="0" w:noHBand="0" w:noVBand="1" w:val="04A0"/>
      </w:tblPr>
      <w:tblGrid>
        <w:gridCol w:w="1605"/>
        <w:gridCol w:w="1605"/>
        <w:gridCol w:w="1605"/>
        <w:gridCol w:w="1605"/>
        <w:gridCol w:w="1605"/>
        <w:gridCol w:w="1605"/>
      </w:tblGrid>
      <w:tr>
        <w:tc>
          <w:tcPr>
            <w:tcW w:type="dxa" w:w="1605"/>
          </w:tcPr>
          <w:p>
            <w:r>
              <w:rPr>
                <w:sz w:val="19"/>
              </w:rPr>
            </w:r>
            <w:r>
              <w:rPr>
                <w:b/>
                <w:sz w:val="19"/>
              </w:rPr>
              <w:t>delay (h)</w:t>
            </w:r>
          </w:p>
        </w:tc>
        <w:tc>
          <w:tcPr>
            <w:tcW w:type="dxa" w:w="1605"/>
          </w:tcPr>
          <w:p>
            <w:r>
              <w:rPr>
                <w:sz w:val="19"/>
              </w:rPr>
            </w:r>
            <w:r>
              <w:rPr>
                <w:b/>
                <w:sz w:val="19"/>
              </w:rPr>
              <w:t>defer_z</w:t>
            </w:r>
          </w:p>
        </w:tc>
        <w:tc>
          <w:tcPr>
            <w:tcW w:type="dxa" w:w="1605"/>
          </w:tcPr>
          <w:p>
            <w:r>
              <w:rPr>
                <w:sz w:val="19"/>
              </w:rPr>
            </w:r>
            <w:r>
              <w:rPr>
                <w:b/>
                <w:sz w:val="19"/>
              </w:rPr>
              <w:t>change vs immediate</w:t>
            </w:r>
          </w:p>
        </w:tc>
        <w:tc>
          <w:tcPr>
            <w:tcW w:type="dxa" w:w="1605"/>
          </w:tcPr>
          <w:p>
            <w:r>
              <w:rPr>
                <w:sz w:val="19"/>
              </w:rPr>
            </w:r>
            <w:r>
              <w:rPr>
                <w:b/>
                <w:sz w:val="19"/>
              </w:rPr>
              <w:t>mean wait (h)</w:t>
            </w:r>
          </w:p>
        </w:tc>
        <w:tc>
          <w:tcPr>
            <w:tcW w:type="dxa" w:w="1605"/>
          </w:tcPr>
          <w:p>
            <w:r>
              <w:rPr>
                <w:sz w:val="19"/>
              </w:rPr>
            </w:r>
            <w:r>
              <w:rPr>
                <w:b/>
                <w:sz w:val="19"/>
              </w:rPr>
              <w:t>deferred</w:t>
            </w:r>
          </w:p>
        </w:tc>
        <w:tc>
          <w:tcPr>
            <w:tcW w:type="dxa" w:w="1605"/>
          </w:tcPr>
          <w:p>
            <w:r>
              <w:rPr>
                <w:sz w:val="19"/>
              </w:rPr>
            </w:r>
            <w:r>
              <w:rPr>
                <w:b/>
                <w:sz w:val="19"/>
              </w:rPr>
              <w:t>deferrals backfired</w:t>
            </w:r>
          </w:p>
        </w:tc>
      </w:tr>
      <w:tr>
        <w:tc>
          <w:tcPr>
            <w:tcW w:type="dxa" w:w="1605"/>
          </w:tcPr>
          <w:p>
            <w:r>
              <w:rPr>
                <w:sz w:val="19"/>
              </w:rPr>
              <w:t>2</w:t>
            </w:r>
          </w:p>
        </w:tc>
        <w:tc>
          <w:tcPr>
            <w:tcW w:type="dxa" w:w="1605"/>
          </w:tcPr>
          <w:p>
            <w:r>
              <w:rPr>
                <w:sz w:val="19"/>
              </w:rPr>
              <w:t>0</w:t>
            </w:r>
          </w:p>
        </w:tc>
        <w:tc>
          <w:tcPr>
            <w:tcW w:type="dxa" w:w="1605"/>
          </w:tcPr>
          <w:p>
            <w:r>
              <w:rPr>
                <w:sz w:val="19"/>
              </w:rPr>
              <w:t>-3.3 %</w:t>
            </w:r>
          </w:p>
        </w:tc>
        <w:tc>
          <w:tcPr>
            <w:tcW w:type="dxa" w:w="1605"/>
          </w:tcPr>
          <w:p>
            <w:r>
              <w:rPr>
                <w:sz w:val="19"/>
              </w:rPr>
              <w:t>0.92</w:t>
            </w:r>
          </w:p>
        </w:tc>
        <w:tc>
          <w:tcPr>
            <w:tcW w:type="dxa" w:w="1605"/>
          </w:tcPr>
          <w:p>
            <w:r>
              <w:rPr>
                <w:sz w:val="19"/>
              </w:rPr>
              <w:t>65%</w:t>
            </w:r>
          </w:p>
        </w:tc>
        <w:tc>
          <w:tcPr>
            <w:tcW w:type="dxa" w:w="1605"/>
          </w:tcPr>
          <w:p>
            <w:r>
              <w:rPr>
                <w:sz w:val="19"/>
              </w:rPr>
              <w:t>38%</w:t>
            </w:r>
          </w:p>
        </w:tc>
      </w:tr>
      <w:tr>
        <w:tc>
          <w:tcPr>
            <w:tcW w:type="dxa" w:w="1605"/>
          </w:tcPr>
          <w:p>
            <w:r>
              <w:rPr>
                <w:sz w:val="19"/>
              </w:rPr>
              <w:t>2</w:t>
            </w:r>
          </w:p>
        </w:tc>
        <w:tc>
          <w:tcPr>
            <w:tcW w:type="dxa" w:w="1605"/>
          </w:tcPr>
          <w:p>
            <w:r>
              <w:rPr>
                <w:sz w:val="19"/>
              </w:rPr>
              <w:t>1</w:t>
            </w:r>
          </w:p>
        </w:tc>
        <w:tc>
          <w:tcPr>
            <w:tcW w:type="dxa" w:w="1605"/>
          </w:tcPr>
          <w:p>
            <w:r>
              <w:rPr>
                <w:sz w:val="19"/>
              </w:rPr>
              <w:t>-3.3 %</w:t>
            </w:r>
          </w:p>
        </w:tc>
        <w:tc>
          <w:tcPr>
            <w:tcW w:type="dxa" w:w="1605"/>
          </w:tcPr>
          <w:p>
            <w:r>
              <w:rPr>
                <w:sz w:val="19"/>
              </w:rPr>
              <w:t>0.51</w:t>
            </w:r>
          </w:p>
        </w:tc>
        <w:tc>
          <w:tcPr>
            <w:tcW w:type="dxa" w:w="1605"/>
          </w:tcPr>
          <w:p>
            <w:r>
              <w:rPr>
                <w:sz w:val="19"/>
              </w:rPr>
              <w:t>32%</w:t>
            </w:r>
          </w:p>
        </w:tc>
        <w:tc>
          <w:tcPr>
            <w:tcW w:type="dxa" w:w="1605"/>
          </w:tcPr>
          <w:p>
            <w:r>
              <w:rPr>
                <w:sz w:val="19"/>
              </w:rPr>
              <w:t>21%</w:t>
            </w:r>
          </w:p>
        </w:tc>
      </w:tr>
      <w:tr>
        <w:tc>
          <w:tcPr>
            <w:tcW w:type="dxa" w:w="1605"/>
          </w:tcPr>
          <w:p>
            <w:r>
              <w:rPr>
                <w:sz w:val="19"/>
              </w:rPr>
              <w:t>2</w:t>
            </w:r>
          </w:p>
        </w:tc>
        <w:tc>
          <w:tcPr>
            <w:tcW w:type="dxa" w:w="1605"/>
          </w:tcPr>
          <w:p>
            <w:r>
              <w:rPr>
                <w:sz w:val="19"/>
              </w:rPr>
              <w:t>2</w:t>
            </w:r>
          </w:p>
        </w:tc>
        <w:tc>
          <w:tcPr>
            <w:tcW w:type="dxa" w:w="1605"/>
          </w:tcPr>
          <w:p>
            <w:r>
              <w:rPr>
                <w:sz w:val="19"/>
              </w:rPr>
              <w:t>-2.3 %</w:t>
            </w:r>
          </w:p>
        </w:tc>
        <w:tc>
          <w:tcPr>
            <w:tcW w:type="dxa" w:w="1605"/>
          </w:tcPr>
          <w:p>
            <w:r>
              <w:rPr>
                <w:sz w:val="19"/>
              </w:rPr>
              <w:t>0.28</w:t>
            </w:r>
          </w:p>
        </w:tc>
        <w:tc>
          <w:tcPr>
            <w:tcW w:type="dxa" w:w="1605"/>
          </w:tcPr>
          <w:p>
            <w:r>
              <w:rPr>
                <w:sz w:val="19"/>
              </w:rPr>
              <w:t>15%</w:t>
            </w:r>
          </w:p>
        </w:tc>
        <w:tc>
          <w:tcPr>
            <w:tcW w:type="dxa" w:w="1605"/>
          </w:tcPr>
          <w:p>
            <w:r>
              <w:rPr>
                <w:sz w:val="19"/>
              </w:rPr>
              <w:t>12%</w:t>
            </w:r>
          </w:p>
        </w:tc>
      </w:tr>
      <w:tr>
        <w:tc>
          <w:tcPr>
            <w:tcW w:type="dxa" w:w="1605"/>
          </w:tcPr>
          <w:p>
            <w:r>
              <w:rPr>
                <w:sz w:val="19"/>
              </w:rPr>
              <w:t>6</w:t>
            </w:r>
          </w:p>
        </w:tc>
        <w:tc>
          <w:tcPr>
            <w:tcW w:type="dxa" w:w="1605"/>
          </w:tcPr>
          <w:p>
            <w:r>
              <w:rPr>
                <w:sz w:val="19"/>
              </w:rPr>
              <w:t>0</w:t>
            </w:r>
          </w:p>
        </w:tc>
        <w:tc>
          <w:tcPr>
            <w:tcW w:type="dxa" w:w="1605"/>
          </w:tcPr>
          <w:p>
            <w:r>
              <w:rPr>
                <w:sz w:val="19"/>
              </w:rPr>
              <w:t>-11.3 %</w:t>
            </w:r>
          </w:p>
        </w:tc>
        <w:tc>
          <w:tcPr>
            <w:tcW w:type="dxa" w:w="1605"/>
          </w:tcPr>
          <w:p>
            <w:r>
              <w:rPr>
                <w:sz w:val="19"/>
              </w:rPr>
              <w:t>2.92</w:t>
            </w:r>
          </w:p>
        </w:tc>
        <w:tc>
          <w:tcPr>
            <w:tcW w:type="dxa" w:w="1605"/>
          </w:tcPr>
          <w:p>
            <w:r>
              <w:rPr>
                <w:sz w:val="19"/>
              </w:rPr>
              <w:t>78%</w:t>
            </w:r>
          </w:p>
        </w:tc>
        <w:tc>
          <w:tcPr>
            <w:tcW w:type="dxa" w:w="1605"/>
          </w:tcPr>
          <w:p>
            <w:r>
              <w:rPr>
                <w:sz w:val="19"/>
              </w:rPr>
              <w:t>31%</w:t>
            </w:r>
          </w:p>
        </w:tc>
      </w:tr>
      <w:tr>
        <w:tc>
          <w:tcPr>
            <w:tcW w:type="dxa" w:w="1605"/>
          </w:tcPr>
          <w:p>
            <w:r>
              <w:rPr>
                <w:sz w:val="19"/>
              </w:rPr>
              <w:t>6</w:t>
            </w:r>
          </w:p>
        </w:tc>
        <w:tc>
          <w:tcPr>
            <w:tcW w:type="dxa" w:w="1605"/>
          </w:tcPr>
          <w:p>
            <w:r>
              <w:rPr>
                <w:sz w:val="19"/>
              </w:rPr>
              <w:t>1</w:t>
            </w:r>
          </w:p>
        </w:tc>
        <w:tc>
          <w:tcPr>
            <w:tcW w:type="dxa" w:w="1605"/>
          </w:tcPr>
          <w:p>
            <w:r>
              <w:rPr>
                <w:sz w:val="19"/>
              </w:rPr>
              <w:t>-12.3 %</w:t>
            </w:r>
          </w:p>
        </w:tc>
        <w:tc>
          <w:tcPr>
            <w:tcW w:type="dxa" w:w="1605"/>
          </w:tcPr>
          <w:p>
            <w:r>
              <w:rPr>
                <w:sz w:val="19"/>
              </w:rPr>
              <w:t>2.14</w:t>
            </w:r>
          </w:p>
        </w:tc>
        <w:tc>
          <w:tcPr>
            <w:tcW w:type="dxa" w:w="1605"/>
          </w:tcPr>
          <w:p>
            <w:r>
              <w:rPr>
                <w:sz w:val="19"/>
              </w:rPr>
              <w:t>52%</w:t>
            </w:r>
          </w:p>
        </w:tc>
        <w:tc>
          <w:tcPr>
            <w:tcW w:type="dxa" w:w="1605"/>
          </w:tcPr>
          <w:p>
            <w:r>
              <w:rPr>
                <w:sz w:val="19"/>
              </w:rPr>
              <w:t>15%</w:t>
            </w:r>
          </w:p>
        </w:tc>
      </w:tr>
      <w:tr>
        <w:tc>
          <w:tcPr>
            <w:tcW w:type="dxa" w:w="1605"/>
          </w:tcPr>
          <w:p>
            <w:r>
              <w:rPr>
                <w:sz w:val="19"/>
              </w:rPr>
              <w:t>6</w:t>
            </w:r>
          </w:p>
        </w:tc>
        <w:tc>
          <w:tcPr>
            <w:tcW w:type="dxa" w:w="1605"/>
          </w:tcPr>
          <w:p>
            <w:r>
              <w:rPr>
                <w:sz w:val="19"/>
              </w:rPr>
              <w:t>2</w:t>
            </w:r>
          </w:p>
        </w:tc>
        <w:tc>
          <w:tcPr>
            <w:tcW w:type="dxa" w:w="1605"/>
          </w:tcPr>
          <w:p>
            <w:r>
              <w:rPr>
                <w:sz w:val="19"/>
              </w:rPr>
              <w:t>-11.7 %</w:t>
            </w:r>
          </w:p>
        </w:tc>
        <w:tc>
          <w:tcPr>
            <w:tcW w:type="dxa" w:w="1605"/>
          </w:tcPr>
          <w:p>
            <w:r>
              <w:rPr>
                <w:sz w:val="19"/>
              </w:rPr>
              <w:t>1.59</w:t>
            </w:r>
          </w:p>
        </w:tc>
        <w:tc>
          <w:tcPr>
            <w:tcW w:type="dxa" w:w="1605"/>
          </w:tcPr>
          <w:p>
            <w:r>
              <w:rPr>
                <w:sz w:val="19"/>
              </w:rPr>
              <w:t>37%</w:t>
            </w:r>
          </w:p>
        </w:tc>
        <w:tc>
          <w:tcPr>
            <w:tcW w:type="dxa" w:w="1605"/>
          </w:tcPr>
          <w:p>
            <w:r>
              <w:rPr>
                <w:sz w:val="19"/>
              </w:rPr>
              <w:t>3%</w:t>
            </w:r>
          </w:p>
        </w:tc>
      </w:tr>
      <w:tr>
        <w:tc>
          <w:tcPr>
            <w:tcW w:type="dxa" w:w="1605"/>
          </w:tcPr>
          <w:p>
            <w:r>
              <w:rPr>
                <w:sz w:val="19"/>
              </w:rPr>
              <w:t>12</w:t>
            </w:r>
          </w:p>
        </w:tc>
        <w:tc>
          <w:tcPr>
            <w:tcW w:type="dxa" w:w="1605"/>
          </w:tcPr>
          <w:p>
            <w:r>
              <w:rPr>
                <w:sz w:val="19"/>
              </w:rPr>
              <w:t>0</w:t>
            </w:r>
          </w:p>
        </w:tc>
        <w:tc>
          <w:tcPr>
            <w:tcW w:type="dxa" w:w="1605"/>
          </w:tcPr>
          <w:p>
            <w:r>
              <w:rPr>
                <w:sz w:val="19"/>
              </w:rPr>
              <w:t>-23.6 %</w:t>
            </w:r>
          </w:p>
        </w:tc>
        <w:tc>
          <w:tcPr>
            <w:tcW w:type="dxa" w:w="1605"/>
          </w:tcPr>
          <w:p>
            <w:r>
              <w:rPr>
                <w:sz w:val="19"/>
              </w:rPr>
              <w:t>5.77</w:t>
            </w:r>
          </w:p>
        </w:tc>
        <w:tc>
          <w:tcPr>
            <w:tcW w:type="dxa" w:w="1605"/>
          </w:tcPr>
          <w:p>
            <w:r>
              <w:rPr>
                <w:sz w:val="19"/>
              </w:rPr>
              <w:t>84%</w:t>
            </w:r>
          </w:p>
        </w:tc>
        <w:tc>
          <w:tcPr>
            <w:tcW w:type="dxa" w:w="1605"/>
          </w:tcPr>
          <w:p>
            <w:r>
              <w:rPr>
                <w:sz w:val="19"/>
              </w:rPr>
              <w:t>16%</w:t>
            </w:r>
          </w:p>
        </w:tc>
      </w:tr>
      <w:tr>
        <w:tc>
          <w:tcPr>
            <w:tcW w:type="dxa" w:w="1605"/>
          </w:tcPr>
          <w:p>
            <w:r>
              <w:rPr>
                <w:sz w:val="19"/>
              </w:rPr>
              <w:t>12</w:t>
            </w:r>
          </w:p>
        </w:tc>
        <w:tc>
          <w:tcPr>
            <w:tcW w:type="dxa" w:w="1605"/>
          </w:tcPr>
          <w:p>
            <w:r>
              <w:rPr>
                <w:sz w:val="19"/>
              </w:rPr>
              <w:t>1</w:t>
            </w:r>
          </w:p>
        </w:tc>
        <w:tc>
          <w:tcPr>
            <w:tcW w:type="dxa" w:w="1605"/>
          </w:tcPr>
          <w:p>
            <w:r>
              <w:rPr>
                <w:sz w:val="19"/>
              </w:rPr>
              <w:t>-24.0 %</w:t>
            </w:r>
          </w:p>
        </w:tc>
        <w:tc>
          <w:tcPr>
            <w:tcW w:type="dxa" w:w="1605"/>
          </w:tcPr>
          <w:p>
            <w:r>
              <w:rPr>
                <w:sz w:val="19"/>
              </w:rPr>
              <w:t>5.05</w:t>
            </w:r>
          </w:p>
        </w:tc>
        <w:tc>
          <w:tcPr>
            <w:tcW w:type="dxa" w:w="1605"/>
          </w:tcPr>
          <w:p>
            <w:r>
              <w:rPr>
                <w:sz w:val="19"/>
              </w:rPr>
              <w:t>69%</w:t>
            </w:r>
          </w:p>
        </w:tc>
        <w:tc>
          <w:tcPr>
            <w:tcW w:type="dxa" w:w="1605"/>
          </w:tcPr>
          <w:p>
            <w:r>
              <w:rPr>
                <w:sz w:val="19"/>
              </w:rPr>
              <w:t>6%</w:t>
            </w:r>
          </w:p>
        </w:tc>
      </w:tr>
      <w:tr>
        <w:tc>
          <w:tcPr>
            <w:tcW w:type="dxa" w:w="1605"/>
          </w:tcPr>
          <w:p>
            <w:r>
              <w:rPr>
                <w:sz w:val="19"/>
              </w:rPr>
              <w:t>12</w:t>
            </w:r>
          </w:p>
        </w:tc>
        <w:tc>
          <w:tcPr>
            <w:tcW w:type="dxa" w:w="1605"/>
          </w:tcPr>
          <w:p>
            <w:r>
              <w:rPr>
                <w:sz w:val="19"/>
              </w:rPr>
              <w:t>2</w:t>
            </w:r>
          </w:p>
        </w:tc>
        <w:tc>
          <w:tcPr>
            <w:tcW w:type="dxa" w:w="1605"/>
          </w:tcPr>
          <w:p>
            <w:r>
              <w:rPr>
                <w:sz w:val="19"/>
              </w:rPr>
              <w:t>-23.4 %</w:t>
            </w:r>
          </w:p>
        </w:tc>
        <w:tc>
          <w:tcPr>
            <w:tcW w:type="dxa" w:w="1605"/>
          </w:tcPr>
          <w:p>
            <w:r>
              <w:rPr>
                <w:sz w:val="19"/>
              </w:rPr>
              <w:t>4.53</w:t>
            </w:r>
          </w:p>
        </w:tc>
        <w:tc>
          <w:tcPr>
            <w:tcW w:type="dxa" w:w="1605"/>
          </w:tcPr>
          <w:p>
            <w:r>
              <w:rPr>
                <w:sz w:val="19"/>
              </w:rPr>
              <w:t>59%</w:t>
            </w:r>
          </w:p>
        </w:tc>
        <w:tc>
          <w:tcPr>
            <w:tcW w:type="dxa" w:w="1605"/>
          </w:tcPr>
          <w:p>
            <w:r>
              <w:rPr>
                <w:sz w:val="19"/>
              </w:rPr>
              <w:t>2%</w:t>
            </w:r>
          </w:p>
        </w:tc>
      </w:tr>
    </w:tbl>
    <w:p/>
    <w:p>
      <w:r>
        <w:rPr>
          <w:i w:val="0"/>
        </w:rPr>
        <w:t>E3 (simulated grid and forecast, 10 % forecast error, z = 1): -12.3 % gCO2e per job with 6 h tolerance (mean wait 2.1 h), -24.0 % with 12 h; 15% and 6% of deferrals backfired.</w:t>
      </w:r>
    </w:p>
    <w:p>
      <w:pPr>
        <w:pStyle w:val="Heading2"/>
      </w:pPr>
      <w:r>
        <w:t>6.3 E4: dead-zone width (simulated)</w:t>
      </w:r>
    </w:p>
    <w:p>
      <w:pPr>
        <w:jc w:val="center"/>
      </w:pPr>
      <w:r>
        <w:drawing>
          <wp:inline xmlns:a="http://schemas.openxmlformats.org/drawingml/2006/main" xmlns:pic="http://schemas.openxmlformats.org/drawingml/2006/picture">
            <wp:extent cx="5580000" cy="3487500"/>
            <wp:docPr id="4" name="Picture 4"/>
            <wp:cNvGraphicFramePr>
              <a:graphicFrameLocks noChangeAspect="1"/>
            </wp:cNvGraphicFramePr>
            <a:graphic>
              <a:graphicData uri="http://schemas.openxmlformats.org/drawingml/2006/picture">
                <pic:pic>
                  <pic:nvPicPr>
                    <pic:cNvPr id="0" name="fig_d_e4.png"/>
                    <pic:cNvPicPr/>
                  </pic:nvPicPr>
                  <pic:blipFill>
                    <a:blip r:embed="rId13"/>
                    <a:stretch>
                      <a:fillRect/>
                    </a:stretch>
                  </pic:blipFill>
                  <pic:spPr>
                    <a:xfrm>
                      <a:off x="0" y="0"/>
                      <a:ext cx="5580000" cy="3487500"/>
                    </a:xfrm>
                    <a:prstGeom prst="rect"/>
                  </pic:spPr>
                </pic:pic>
              </a:graphicData>
            </a:graphic>
          </wp:inline>
        </w:drawing>
      </w:r>
    </w:p>
    <w:p>
      <w:pPr>
        <w:pStyle w:val="Caption"/>
      </w:pPr>
      <w:r>
        <w:t>Figure 4: E4 (simulated 10 % measurement noise, 2000 jobs per point): a wider dead zone removes false rewards faster than deserved ones.</w:t>
      </w:r>
    </w:p>
    <w:p>
      <w:pPr>
        <w:pStyle w:val="Caption"/>
      </w:pPr>
      <w:r>
        <w:t>Table 2: E4: share of jobs that received a rebate, against k (simulated noise model).</w:t>
      </w:r>
    </w:p>
    <w:tbl>
      <w:tblPr>
        <w:tblStyle w:val="TableGrid"/>
        <w:tblW w:type="auto" w:w="0"/>
        <w:tblLook w:firstColumn="1" w:firstRow="1" w:lastColumn="0" w:lastRow="0" w:noHBand="0" w:noVBand="1" w:val="04A0"/>
      </w:tblPr>
      <w:tblGrid>
        <w:gridCol w:w="1926"/>
        <w:gridCol w:w="1926"/>
        <w:gridCol w:w="1926"/>
        <w:gridCol w:w="1926"/>
        <w:gridCol w:w="1926"/>
      </w:tblGrid>
      <w:tr>
        <w:tc>
          <w:tcPr>
            <w:tcW w:type="dxa" w:w="1926"/>
          </w:tcPr>
          <w:p>
            <w:r>
              <w:rPr>
                <w:sz w:val="19"/>
              </w:rPr>
            </w:r>
            <w:r>
              <w:rPr>
                <w:b/>
                <w:sz w:val="19"/>
              </w:rPr>
              <w:t>k</w:t>
            </w:r>
          </w:p>
        </w:tc>
        <w:tc>
          <w:tcPr>
            <w:tcW w:type="dxa" w:w="1926"/>
          </w:tcPr>
          <w:p>
            <w:r>
              <w:rPr>
                <w:sz w:val="19"/>
              </w:rPr>
            </w:r>
            <w:r>
              <w:rPr>
                <w:b/>
                <w:sz w:val="19"/>
              </w:rPr>
              <w:t>false-reward rate (gain 0)</w:t>
            </w:r>
          </w:p>
        </w:tc>
        <w:tc>
          <w:tcPr>
            <w:tcW w:type="dxa" w:w="1926"/>
          </w:tcPr>
          <w:p>
            <w:r>
              <w:rPr>
                <w:sz w:val="19"/>
              </w:rPr>
            </w:r>
            <w:r>
              <w:rPr>
                <w:b/>
                <w:sz w:val="19"/>
              </w:rPr>
              <w:t>reward rate (gain 20 %)</w:t>
            </w:r>
          </w:p>
        </w:tc>
        <w:tc>
          <w:tcPr>
            <w:tcW w:type="dxa" w:w="1926"/>
          </w:tcPr>
          <w:p>
            <w:r>
              <w:rPr>
                <w:sz w:val="19"/>
              </w:rPr>
            </w:r>
            <w:r>
              <w:rPr>
                <w:b/>
                <w:sz w:val="19"/>
              </w:rPr>
              <w:t>reward rate (gain 40 %)</w:t>
            </w:r>
          </w:p>
        </w:tc>
        <w:tc>
          <w:tcPr>
            <w:tcW w:type="dxa" w:w="1926"/>
          </w:tcPr>
          <w:p>
            <w:r>
              <w:rPr>
                <w:sz w:val="19"/>
              </w:rPr>
            </w:r>
            <w:r>
              <w:rPr>
                <w:b/>
                <w:sz w:val="19"/>
              </w:rPr>
              <w:t>credits minted, gain 0</w:t>
            </w:r>
          </w:p>
        </w:tc>
      </w:tr>
      <w:tr>
        <w:tc>
          <w:tcPr>
            <w:tcW w:type="dxa" w:w="1926"/>
          </w:tcPr>
          <w:p>
            <w:r>
              <w:rPr>
                <w:sz w:val="19"/>
              </w:rPr>
              <w:t>0</w:t>
            </w:r>
          </w:p>
        </w:tc>
        <w:tc>
          <w:tcPr>
            <w:tcW w:type="dxa" w:w="1926"/>
          </w:tcPr>
          <w:p>
            <w:r>
              <w:rPr>
                <w:sz w:val="19"/>
              </w:rPr>
              <w:t>50.4%</w:t>
            </w:r>
          </w:p>
        </w:tc>
        <w:tc>
          <w:tcPr>
            <w:tcW w:type="dxa" w:w="1926"/>
          </w:tcPr>
          <w:p>
            <w:r>
              <w:rPr>
                <w:sz w:val="19"/>
              </w:rPr>
              <w:t>93.8%</w:t>
            </w:r>
          </w:p>
        </w:tc>
        <w:tc>
          <w:tcPr>
            <w:tcW w:type="dxa" w:w="1926"/>
          </w:tcPr>
          <w:p>
            <w:r>
              <w:rPr>
                <w:sz w:val="19"/>
              </w:rPr>
              <w:t>100.0%</w:t>
            </w:r>
          </w:p>
        </w:tc>
        <w:tc>
          <w:tcPr>
            <w:tcW w:type="dxa" w:w="1926"/>
          </w:tcPr>
          <w:p>
            <w:r>
              <w:rPr>
                <w:sz w:val="19"/>
              </w:rPr>
              <w:t>12442.4</w:t>
            </w:r>
          </w:p>
        </w:tc>
      </w:tr>
      <w:tr>
        <w:tc>
          <w:tcPr>
            <w:tcW w:type="dxa" w:w="1926"/>
          </w:tcPr>
          <w:p>
            <w:r>
              <w:rPr>
                <w:sz w:val="19"/>
              </w:rPr>
              <w:t>0.5</w:t>
            </w:r>
          </w:p>
        </w:tc>
        <w:tc>
          <w:tcPr>
            <w:tcW w:type="dxa" w:w="1926"/>
          </w:tcPr>
          <w:p>
            <w:r>
              <w:rPr>
                <w:sz w:val="19"/>
              </w:rPr>
              <w:t>31.3%</w:t>
            </w:r>
          </w:p>
        </w:tc>
        <w:tc>
          <w:tcPr>
            <w:tcW w:type="dxa" w:w="1926"/>
          </w:tcPr>
          <w:p>
            <w:r>
              <w:rPr>
                <w:sz w:val="19"/>
              </w:rPr>
              <w:t>85.9%</w:t>
            </w:r>
          </w:p>
        </w:tc>
        <w:tc>
          <w:tcPr>
            <w:tcW w:type="dxa" w:w="1926"/>
          </w:tcPr>
          <w:p>
            <w:r>
              <w:rPr>
                <w:sz w:val="19"/>
              </w:rPr>
              <w:t>99.8%</w:t>
            </w:r>
          </w:p>
        </w:tc>
        <w:tc>
          <w:tcPr>
            <w:tcW w:type="dxa" w:w="1926"/>
          </w:tcPr>
          <w:p>
            <w:r>
              <w:rPr>
                <w:sz w:val="19"/>
              </w:rPr>
              <w:t>6004.6</w:t>
            </w:r>
          </w:p>
        </w:tc>
      </w:tr>
      <w:tr>
        <w:tc>
          <w:tcPr>
            <w:tcW w:type="dxa" w:w="1926"/>
          </w:tcPr>
          <w:p>
            <w:r>
              <w:rPr>
                <w:sz w:val="19"/>
              </w:rPr>
              <w:t>1</w:t>
            </w:r>
          </w:p>
        </w:tc>
        <w:tc>
          <w:tcPr>
            <w:tcW w:type="dxa" w:w="1926"/>
          </w:tcPr>
          <w:p>
            <w:r>
              <w:rPr>
                <w:sz w:val="19"/>
              </w:rPr>
              <w:t>14.9%</w:t>
            </w:r>
          </w:p>
        </w:tc>
        <w:tc>
          <w:tcPr>
            <w:tcW w:type="dxa" w:w="1926"/>
          </w:tcPr>
          <w:p>
            <w:r>
              <w:rPr>
                <w:sz w:val="19"/>
              </w:rPr>
              <w:t>71.5%</w:t>
            </w:r>
          </w:p>
        </w:tc>
        <w:tc>
          <w:tcPr>
            <w:tcW w:type="dxa" w:w="1926"/>
          </w:tcPr>
          <w:p>
            <w:r>
              <w:rPr>
                <w:sz w:val="19"/>
              </w:rPr>
              <w:t>99.2%</w:t>
            </w:r>
          </w:p>
        </w:tc>
        <w:tc>
          <w:tcPr>
            <w:tcW w:type="dxa" w:w="1926"/>
          </w:tcPr>
          <w:p>
            <w:r>
              <w:rPr>
                <w:sz w:val="19"/>
              </w:rPr>
              <w:t>2530.1</w:t>
            </w:r>
          </w:p>
        </w:tc>
      </w:tr>
      <w:tr>
        <w:tc>
          <w:tcPr>
            <w:tcW w:type="dxa" w:w="1926"/>
          </w:tcPr>
          <w:p>
            <w:r>
              <w:rPr>
                <w:sz w:val="19"/>
              </w:rPr>
              <w:t>1.5</w:t>
            </w:r>
          </w:p>
        </w:tc>
        <w:tc>
          <w:tcPr>
            <w:tcW w:type="dxa" w:w="1926"/>
          </w:tcPr>
          <w:p>
            <w:r>
              <w:rPr>
                <w:sz w:val="19"/>
              </w:rPr>
              <w:t>6.6%</w:t>
            </w:r>
          </w:p>
        </w:tc>
        <w:tc>
          <w:tcPr>
            <w:tcW w:type="dxa" w:w="1926"/>
          </w:tcPr>
          <w:p>
            <w:r>
              <w:rPr>
                <w:sz w:val="19"/>
              </w:rPr>
              <w:t>52.3%</w:t>
            </w:r>
          </w:p>
        </w:tc>
        <w:tc>
          <w:tcPr>
            <w:tcW w:type="dxa" w:w="1926"/>
          </w:tcPr>
          <w:p>
            <w:r>
              <w:rPr>
                <w:sz w:val="19"/>
              </w:rPr>
              <w:t>97.5%</w:t>
            </w:r>
          </w:p>
        </w:tc>
        <w:tc>
          <w:tcPr>
            <w:tcW w:type="dxa" w:w="1926"/>
          </w:tcPr>
          <w:p>
            <w:r>
              <w:rPr>
                <w:sz w:val="19"/>
              </w:rPr>
              <w:t>894.8</w:t>
            </w:r>
          </w:p>
        </w:tc>
      </w:tr>
      <w:tr>
        <w:tc>
          <w:tcPr>
            <w:tcW w:type="dxa" w:w="1926"/>
          </w:tcPr>
          <w:p>
            <w:r>
              <w:rPr>
                <w:sz w:val="19"/>
              </w:rPr>
              <w:t>2</w:t>
            </w:r>
          </w:p>
        </w:tc>
        <w:tc>
          <w:tcPr>
            <w:tcW w:type="dxa" w:w="1926"/>
          </w:tcPr>
          <w:p>
            <w:r>
              <w:rPr>
                <w:sz w:val="19"/>
              </w:rPr>
              <w:t>2.2%</w:t>
            </w:r>
          </w:p>
        </w:tc>
        <w:tc>
          <w:tcPr>
            <w:tcW w:type="dxa" w:w="1926"/>
          </w:tcPr>
          <w:p>
            <w:r>
              <w:rPr>
                <w:sz w:val="19"/>
              </w:rPr>
              <w:t>31.4%</w:t>
            </w:r>
          </w:p>
        </w:tc>
        <w:tc>
          <w:tcPr>
            <w:tcW w:type="dxa" w:w="1926"/>
          </w:tcPr>
          <w:p>
            <w:r>
              <w:rPr>
                <w:sz w:val="19"/>
              </w:rPr>
              <w:t>91.5%</w:t>
            </w:r>
          </w:p>
        </w:tc>
        <w:tc>
          <w:tcPr>
            <w:tcW w:type="dxa" w:w="1926"/>
          </w:tcPr>
          <w:p>
            <w:r>
              <w:rPr>
                <w:sz w:val="19"/>
              </w:rPr>
              <w:t>205.0</w:t>
            </w:r>
          </w:p>
        </w:tc>
      </w:tr>
      <w:tr>
        <w:tc>
          <w:tcPr>
            <w:tcW w:type="dxa" w:w="1926"/>
          </w:tcPr>
          <w:p>
            <w:r>
              <w:rPr>
                <w:sz w:val="19"/>
              </w:rPr>
              <w:t>2.5</w:t>
            </w:r>
          </w:p>
        </w:tc>
        <w:tc>
          <w:tcPr>
            <w:tcW w:type="dxa" w:w="1926"/>
          </w:tcPr>
          <w:p>
            <w:r>
              <w:rPr>
                <w:sz w:val="19"/>
              </w:rPr>
              <w:t>0.3%</w:t>
            </w:r>
          </w:p>
        </w:tc>
        <w:tc>
          <w:tcPr>
            <w:tcW w:type="dxa" w:w="1926"/>
          </w:tcPr>
          <w:p>
            <w:r>
              <w:rPr>
                <w:sz w:val="19"/>
              </w:rPr>
              <w:t>14.9%</w:t>
            </w:r>
          </w:p>
        </w:tc>
        <w:tc>
          <w:tcPr>
            <w:tcW w:type="dxa" w:w="1926"/>
          </w:tcPr>
          <w:p>
            <w:r>
              <w:rPr>
                <w:sz w:val="19"/>
              </w:rPr>
              <w:t>80.3%</w:t>
            </w:r>
          </w:p>
        </w:tc>
        <w:tc>
          <w:tcPr>
            <w:tcW w:type="dxa" w:w="1926"/>
          </w:tcPr>
          <w:p>
            <w:r>
              <w:rPr>
                <w:sz w:val="19"/>
              </w:rPr>
              <w:t>27.7</w:t>
            </w:r>
          </w:p>
        </w:tc>
      </w:tr>
      <w:tr>
        <w:tc>
          <w:tcPr>
            <w:tcW w:type="dxa" w:w="1926"/>
          </w:tcPr>
          <w:p>
            <w:r>
              <w:rPr>
                <w:sz w:val="19"/>
              </w:rPr>
              <w:t>3</w:t>
            </w:r>
          </w:p>
        </w:tc>
        <w:tc>
          <w:tcPr>
            <w:tcW w:type="dxa" w:w="1926"/>
          </w:tcPr>
          <w:p>
            <w:r>
              <w:rPr>
                <w:sz w:val="19"/>
              </w:rPr>
              <w:t>0.1%</w:t>
            </w:r>
          </w:p>
        </w:tc>
        <w:tc>
          <w:tcPr>
            <w:tcW w:type="dxa" w:w="1926"/>
          </w:tcPr>
          <w:p>
            <w:r>
              <w:rPr>
                <w:sz w:val="19"/>
              </w:rPr>
              <w:t>6.1%</w:t>
            </w:r>
          </w:p>
        </w:tc>
        <w:tc>
          <w:tcPr>
            <w:tcW w:type="dxa" w:w="1926"/>
          </w:tcPr>
          <w:p>
            <w:r>
              <w:rPr>
                <w:sz w:val="19"/>
              </w:rPr>
              <w:t>62.0%</w:t>
            </w:r>
          </w:p>
        </w:tc>
        <w:tc>
          <w:tcPr>
            <w:tcW w:type="dxa" w:w="1926"/>
          </w:tcPr>
          <w:p>
            <w:r>
              <w:rPr>
                <w:sz w:val="19"/>
              </w:rPr>
              <w:t>4.8</w:t>
            </w:r>
          </w:p>
        </w:tc>
      </w:tr>
    </w:tbl>
    <w:p/>
    <w:p>
      <w:r>
        <w:rPr>
          <w:i w:val="0"/>
        </w:rPr>
        <w:t>E4 (simulated 10 % noise): at k = 1 a rebate went to 14.9% of jobs with no real saving (k = 0: 50.4%), and to 71.5% / 99.2% of jobs with a true 20 % / 40 % saving.</w:t>
      </w:r>
    </w:p>
    <w:p>
      <w:pPr>
        <w:pStyle w:val="Heading2"/>
      </w:pPr>
      <w:r>
        <w:t>6.4 Gaming table (simulated)</w:t>
      </w:r>
    </w:p>
    <w:p>
      <w:pPr>
        <w:pStyle w:val="Caption"/>
      </w:pPr>
      <w:r>
        <w:t>Table 3: Gaming table: 200 simulated jobs per archetype; the ex-ante rule is a simplified strawman.</w:t>
      </w:r>
    </w:p>
    <w:tbl>
      <w:tblPr>
        <w:tblStyle w:val="TableGrid"/>
        <w:tblW w:type="auto" w:w="0"/>
        <w:tblLook w:firstColumn="1" w:firstRow="1" w:lastColumn="0" w:lastRow="0" w:noHBand="0" w:noVBand="1" w:val="04A0"/>
      </w:tblPr>
      <w:tblGrid>
        <w:gridCol w:w="1926"/>
        <w:gridCol w:w="1926"/>
        <w:gridCol w:w="1926"/>
        <w:gridCol w:w="1926"/>
        <w:gridCol w:w="1926"/>
      </w:tblGrid>
      <w:tr>
        <w:tc>
          <w:tcPr>
            <w:tcW w:type="dxa" w:w="1926"/>
          </w:tcPr>
          <w:p>
            <w:r>
              <w:rPr>
                <w:sz w:val="19"/>
              </w:rPr>
            </w:r>
            <w:r>
              <w:rPr>
                <w:b/>
                <w:sz w:val="19"/>
              </w:rPr>
              <w:t>archetype</w:t>
            </w:r>
          </w:p>
        </w:tc>
        <w:tc>
          <w:tcPr>
            <w:tcW w:type="dxa" w:w="1926"/>
          </w:tcPr>
          <w:p>
            <w:r>
              <w:rPr>
                <w:sz w:val="19"/>
              </w:rPr>
            </w:r>
            <w:r>
              <w:rPr>
                <w:b/>
                <w:sz w:val="19"/>
              </w:rPr>
              <w:t>rule</w:t>
            </w:r>
          </w:p>
        </w:tc>
        <w:tc>
          <w:tcPr>
            <w:tcW w:type="dxa" w:w="1926"/>
          </w:tcPr>
          <w:p>
            <w:r>
              <w:rPr>
                <w:sz w:val="19"/>
              </w:rPr>
            </w:r>
            <w:r>
              <w:rPr>
                <w:b/>
                <w:sz w:val="19"/>
              </w:rPr>
              <w:t>mean net / job</w:t>
            </w:r>
          </w:p>
        </w:tc>
        <w:tc>
          <w:tcPr>
            <w:tcW w:type="dxa" w:w="1926"/>
          </w:tcPr>
          <w:p>
            <w:r>
              <w:rPr>
                <w:sz w:val="19"/>
              </w:rPr>
            </w:r>
            <w:r>
              <w:rPr>
                <w:b/>
                <w:sz w:val="19"/>
              </w:rPr>
              <w:t>share rebated</w:t>
            </w:r>
          </w:p>
        </w:tc>
        <w:tc>
          <w:tcPr>
            <w:tcW w:type="dxa" w:w="1926"/>
          </w:tcPr>
          <w:p>
            <w:r>
              <w:rPr>
                <w:sz w:val="19"/>
              </w:rPr>
            </w:r>
            <w:r>
              <w:rPr>
                <w:b/>
                <w:sz w:val="19"/>
              </w:rPr>
              <w:t>jobs with net &lt; 0</w:t>
            </w:r>
          </w:p>
        </w:tc>
      </w:tr>
      <w:tr>
        <w:tc>
          <w:tcPr>
            <w:tcW w:type="dxa" w:w="1926"/>
          </w:tcPr>
          <w:p>
            <w:r>
              <w:rPr>
                <w:sz w:val="19"/>
              </w:rPr>
              <w:t>honest_deferrer</w:t>
            </w:r>
          </w:p>
        </w:tc>
        <w:tc>
          <w:tcPr>
            <w:tcW w:type="dxa" w:w="1926"/>
          </w:tcPr>
          <w:p>
            <w:r>
              <w:rPr>
                <w:sz w:val="19"/>
              </w:rPr>
              <w:t>ex-ante</w:t>
            </w:r>
          </w:p>
        </w:tc>
        <w:tc>
          <w:tcPr>
            <w:tcW w:type="dxa" w:w="1926"/>
          </w:tcPr>
          <w:p>
            <w:r>
              <w:rPr>
                <w:sz w:val="19"/>
              </w:rPr>
              <w:t>172.91</w:t>
            </w:r>
          </w:p>
        </w:tc>
        <w:tc>
          <w:tcPr>
            <w:tcW w:type="dxa" w:w="1926"/>
          </w:tcPr>
          <w:p>
            <w:r>
              <w:rPr>
                <w:sz w:val="19"/>
              </w:rPr>
              <w:t>55.5%</w:t>
            </w:r>
          </w:p>
        </w:tc>
        <w:tc>
          <w:tcPr>
            <w:tcW w:type="dxa" w:w="1926"/>
          </w:tcPr>
          <w:p>
            <w:r>
              <w:rPr>
                <w:sz w:val="19"/>
              </w:rPr>
              <w:t>2</w:t>
            </w:r>
          </w:p>
        </w:tc>
      </w:tr>
      <w:tr>
        <w:tc>
          <w:tcPr>
            <w:tcW w:type="dxa" w:w="1926"/>
          </w:tcPr>
          <w:p>
            <w:r>
              <w:rPr>
                <w:sz w:val="19"/>
              </w:rPr>
              <w:t>honest_deferrer</w:t>
            </w:r>
          </w:p>
        </w:tc>
        <w:tc>
          <w:tcPr>
            <w:tcW w:type="dxa" w:w="1926"/>
          </w:tcPr>
          <w:p>
            <w:r>
              <w:rPr>
                <w:sz w:val="19"/>
              </w:rPr>
              <w:t>ex-post k=0</w:t>
            </w:r>
          </w:p>
        </w:tc>
        <w:tc>
          <w:tcPr>
            <w:tcW w:type="dxa" w:w="1926"/>
          </w:tcPr>
          <w:p>
            <w:r>
              <w:rPr>
                <w:sz w:val="19"/>
              </w:rPr>
              <w:t>173.10</w:t>
            </w:r>
          </w:p>
        </w:tc>
        <w:tc>
          <w:tcPr>
            <w:tcW w:type="dxa" w:w="1926"/>
          </w:tcPr>
          <w:p>
            <w:r>
              <w:rPr>
                <w:sz w:val="19"/>
              </w:rPr>
              <w:t>73.5%</w:t>
            </w:r>
          </w:p>
        </w:tc>
        <w:tc>
          <w:tcPr>
            <w:tcW w:type="dxa" w:w="1926"/>
          </w:tcPr>
          <w:p>
            <w:r>
              <w:rPr>
                <w:sz w:val="19"/>
              </w:rPr>
              <w:t>0</w:t>
            </w:r>
          </w:p>
        </w:tc>
      </w:tr>
      <w:tr>
        <w:tc>
          <w:tcPr>
            <w:tcW w:type="dxa" w:w="1926"/>
          </w:tcPr>
          <w:p>
            <w:r>
              <w:rPr>
                <w:sz w:val="19"/>
              </w:rPr>
              <w:t>honest_deferrer</w:t>
            </w:r>
          </w:p>
        </w:tc>
        <w:tc>
          <w:tcPr>
            <w:tcW w:type="dxa" w:w="1926"/>
          </w:tcPr>
          <w:p>
            <w:r>
              <w:rPr>
                <w:sz w:val="19"/>
              </w:rPr>
              <w:t>ex-post k=1</w:t>
            </w:r>
          </w:p>
        </w:tc>
        <w:tc>
          <w:tcPr>
            <w:tcW w:type="dxa" w:w="1926"/>
          </w:tcPr>
          <w:p>
            <w:r>
              <w:rPr>
                <w:sz w:val="19"/>
              </w:rPr>
              <w:t>181.94</w:t>
            </w:r>
          </w:p>
        </w:tc>
        <w:tc>
          <w:tcPr>
            <w:tcW w:type="dxa" w:w="1926"/>
          </w:tcPr>
          <w:p>
            <w:r>
              <w:rPr>
                <w:sz w:val="19"/>
              </w:rPr>
              <w:t>46.5%</w:t>
            </w:r>
          </w:p>
        </w:tc>
        <w:tc>
          <w:tcPr>
            <w:tcW w:type="dxa" w:w="1926"/>
          </w:tcPr>
          <w:p>
            <w:r>
              <w:rPr>
                <w:sz w:val="19"/>
              </w:rPr>
              <w:t>0</w:t>
            </w:r>
          </w:p>
        </w:tc>
      </w:tr>
      <w:tr>
        <w:tc>
          <w:tcPr>
            <w:tcW w:type="dxa" w:w="1926"/>
          </w:tcPr>
          <w:p>
            <w:r>
              <w:rPr>
                <w:sz w:val="19"/>
              </w:rPr>
              <w:t>honest_deferrer</w:t>
            </w:r>
          </w:p>
        </w:tc>
        <w:tc>
          <w:tcPr>
            <w:tcW w:type="dxa" w:w="1926"/>
          </w:tcPr>
          <w:p>
            <w:r>
              <w:rPr>
                <w:sz w:val="19"/>
              </w:rPr>
              <w:t>ex-post k=2</w:t>
            </w:r>
          </w:p>
        </w:tc>
        <w:tc>
          <w:tcPr>
            <w:tcW w:type="dxa" w:w="1926"/>
          </w:tcPr>
          <w:p>
            <w:r>
              <w:rPr>
                <w:sz w:val="19"/>
              </w:rPr>
              <w:t>187.22</w:t>
            </w:r>
          </w:p>
        </w:tc>
        <w:tc>
          <w:tcPr>
            <w:tcW w:type="dxa" w:w="1926"/>
          </w:tcPr>
          <w:p>
            <w:r>
              <w:rPr>
                <w:sz w:val="19"/>
              </w:rPr>
              <w:t>30.0%</w:t>
            </w:r>
          </w:p>
        </w:tc>
        <w:tc>
          <w:tcPr>
            <w:tcW w:type="dxa" w:w="1926"/>
          </w:tcPr>
          <w:p>
            <w:r>
              <w:rPr>
                <w:sz w:val="19"/>
              </w:rPr>
              <w:t>0</w:t>
            </w:r>
          </w:p>
        </w:tc>
      </w:tr>
      <w:tr>
        <w:tc>
          <w:tcPr>
            <w:tcW w:type="dxa" w:w="1926"/>
          </w:tcPr>
          <w:p>
            <w:r>
              <w:rPr>
                <w:sz w:val="19"/>
              </w:rPr>
              <w:t>always_immediate</w:t>
            </w:r>
          </w:p>
        </w:tc>
        <w:tc>
          <w:tcPr>
            <w:tcW w:type="dxa" w:w="1926"/>
          </w:tcPr>
          <w:p>
            <w:r>
              <w:rPr>
                <w:sz w:val="19"/>
              </w:rPr>
              <w:t>ex-ante</w:t>
            </w:r>
          </w:p>
        </w:tc>
        <w:tc>
          <w:tcPr>
            <w:tcW w:type="dxa" w:w="1926"/>
          </w:tcPr>
          <w:p>
            <w:r>
              <w:rPr>
                <w:sz w:val="19"/>
              </w:rPr>
              <w:t>217.50</w:t>
            </w:r>
          </w:p>
        </w:tc>
        <w:tc>
          <w:tcPr>
            <w:tcW w:type="dxa" w:w="1926"/>
          </w:tcPr>
          <w:p>
            <w:r>
              <w:rPr>
                <w:sz w:val="19"/>
              </w:rPr>
              <w:t>0.0%</w:t>
            </w:r>
          </w:p>
        </w:tc>
        <w:tc>
          <w:tcPr>
            <w:tcW w:type="dxa" w:w="1926"/>
          </w:tcPr>
          <w:p>
            <w:r>
              <w:rPr>
                <w:sz w:val="19"/>
              </w:rPr>
              <w:t>0</w:t>
            </w:r>
          </w:p>
        </w:tc>
      </w:tr>
      <w:tr>
        <w:tc>
          <w:tcPr>
            <w:tcW w:type="dxa" w:w="1926"/>
          </w:tcPr>
          <w:p>
            <w:r>
              <w:rPr>
                <w:sz w:val="19"/>
              </w:rPr>
              <w:t>always_immediate</w:t>
            </w:r>
          </w:p>
        </w:tc>
        <w:tc>
          <w:tcPr>
            <w:tcW w:type="dxa" w:w="1926"/>
          </w:tcPr>
          <w:p>
            <w:r>
              <w:rPr>
                <w:sz w:val="19"/>
              </w:rPr>
              <w:t>ex-post k=0</w:t>
            </w:r>
          </w:p>
        </w:tc>
        <w:tc>
          <w:tcPr>
            <w:tcW w:type="dxa" w:w="1926"/>
          </w:tcPr>
          <w:p>
            <w:r>
              <w:rPr>
                <w:sz w:val="19"/>
              </w:rPr>
              <w:t>217.00</w:t>
            </w:r>
          </w:p>
        </w:tc>
        <w:tc>
          <w:tcPr>
            <w:tcW w:type="dxa" w:w="1926"/>
          </w:tcPr>
          <w:p>
            <w:r>
              <w:rPr>
                <w:sz w:val="19"/>
              </w:rPr>
              <w:t>0.0%</w:t>
            </w:r>
          </w:p>
        </w:tc>
        <w:tc>
          <w:tcPr>
            <w:tcW w:type="dxa" w:w="1926"/>
          </w:tcPr>
          <w:p>
            <w:r>
              <w:rPr>
                <w:sz w:val="19"/>
              </w:rPr>
              <w:t>0</w:t>
            </w:r>
          </w:p>
        </w:tc>
      </w:tr>
      <w:tr>
        <w:tc>
          <w:tcPr>
            <w:tcW w:type="dxa" w:w="1926"/>
          </w:tcPr>
          <w:p>
            <w:r>
              <w:rPr>
                <w:sz w:val="19"/>
              </w:rPr>
              <w:t>always_immediate</w:t>
            </w:r>
          </w:p>
        </w:tc>
        <w:tc>
          <w:tcPr>
            <w:tcW w:type="dxa" w:w="1926"/>
          </w:tcPr>
          <w:p>
            <w:r>
              <w:rPr>
                <w:sz w:val="19"/>
              </w:rPr>
              <w:t>ex-post k=1</w:t>
            </w:r>
          </w:p>
        </w:tc>
        <w:tc>
          <w:tcPr>
            <w:tcW w:type="dxa" w:w="1926"/>
          </w:tcPr>
          <w:p>
            <w:r>
              <w:rPr>
                <w:sz w:val="19"/>
              </w:rPr>
              <w:t>217.00</w:t>
            </w:r>
          </w:p>
        </w:tc>
        <w:tc>
          <w:tcPr>
            <w:tcW w:type="dxa" w:w="1926"/>
          </w:tcPr>
          <w:p>
            <w:r>
              <w:rPr>
                <w:sz w:val="19"/>
              </w:rPr>
              <w:t>0.0%</w:t>
            </w:r>
          </w:p>
        </w:tc>
        <w:tc>
          <w:tcPr>
            <w:tcW w:type="dxa" w:w="1926"/>
          </w:tcPr>
          <w:p>
            <w:r>
              <w:rPr>
                <w:sz w:val="19"/>
              </w:rPr>
              <w:t>0</w:t>
            </w:r>
          </w:p>
        </w:tc>
      </w:tr>
      <w:tr>
        <w:tc>
          <w:tcPr>
            <w:tcW w:type="dxa" w:w="1926"/>
          </w:tcPr>
          <w:p>
            <w:r>
              <w:rPr>
                <w:sz w:val="19"/>
              </w:rPr>
              <w:t>always_immediate</w:t>
            </w:r>
          </w:p>
        </w:tc>
        <w:tc>
          <w:tcPr>
            <w:tcW w:type="dxa" w:w="1926"/>
          </w:tcPr>
          <w:p>
            <w:r>
              <w:rPr>
                <w:sz w:val="19"/>
              </w:rPr>
              <w:t>ex-post k=2</w:t>
            </w:r>
          </w:p>
        </w:tc>
        <w:tc>
          <w:tcPr>
            <w:tcW w:type="dxa" w:w="1926"/>
          </w:tcPr>
          <w:p>
            <w:r>
              <w:rPr>
                <w:sz w:val="19"/>
              </w:rPr>
              <w:t>217.00</w:t>
            </w:r>
          </w:p>
        </w:tc>
        <w:tc>
          <w:tcPr>
            <w:tcW w:type="dxa" w:w="1926"/>
          </w:tcPr>
          <w:p>
            <w:r>
              <w:rPr>
                <w:sz w:val="19"/>
              </w:rPr>
              <w:t>0.0%</w:t>
            </w:r>
          </w:p>
        </w:tc>
        <w:tc>
          <w:tcPr>
            <w:tcW w:type="dxa" w:w="1926"/>
          </w:tcPr>
          <w:p>
            <w:r>
              <w:rPr>
                <w:sz w:val="19"/>
              </w:rPr>
              <w:t>0</w:t>
            </w:r>
          </w:p>
        </w:tc>
      </w:tr>
      <w:tr>
        <w:tc>
          <w:tcPr>
            <w:tcW w:type="dxa" w:w="1926"/>
          </w:tcPr>
          <w:p>
            <w:r>
              <w:rPr>
                <w:sz w:val="19"/>
              </w:rPr>
              <w:t>junk_farmer</w:t>
            </w:r>
          </w:p>
        </w:tc>
        <w:tc>
          <w:tcPr>
            <w:tcW w:type="dxa" w:w="1926"/>
          </w:tcPr>
          <w:p>
            <w:r>
              <w:rPr>
                <w:sz w:val="19"/>
              </w:rPr>
              <w:t>ex-ante</w:t>
            </w:r>
          </w:p>
        </w:tc>
        <w:tc>
          <w:tcPr>
            <w:tcW w:type="dxa" w:w="1926"/>
          </w:tcPr>
          <w:p>
            <w:r>
              <w:rPr>
                <w:sz w:val="19"/>
              </w:rPr>
              <w:t>0.96</w:t>
            </w:r>
          </w:p>
        </w:tc>
        <w:tc>
          <w:tcPr>
            <w:tcW w:type="dxa" w:w="1926"/>
          </w:tcPr>
          <w:p>
            <w:r>
              <w:rPr>
                <w:sz w:val="19"/>
              </w:rPr>
              <w:t>55.5%</w:t>
            </w:r>
          </w:p>
        </w:tc>
        <w:tc>
          <w:tcPr>
            <w:tcW w:type="dxa" w:w="1926"/>
          </w:tcPr>
          <w:p>
            <w:r>
              <w:rPr>
                <w:sz w:val="19"/>
              </w:rPr>
              <w:t>0</w:t>
            </w:r>
          </w:p>
        </w:tc>
      </w:tr>
      <w:tr>
        <w:tc>
          <w:tcPr>
            <w:tcW w:type="dxa" w:w="1926"/>
          </w:tcPr>
          <w:p>
            <w:r>
              <w:rPr>
                <w:sz w:val="19"/>
              </w:rPr>
              <w:t>junk_farmer</w:t>
            </w:r>
          </w:p>
        </w:tc>
        <w:tc>
          <w:tcPr>
            <w:tcW w:type="dxa" w:w="1926"/>
          </w:tcPr>
          <w:p>
            <w:r>
              <w:rPr>
                <w:sz w:val="19"/>
              </w:rPr>
              <w:t>ex-post k=0</w:t>
            </w:r>
          </w:p>
        </w:tc>
        <w:tc>
          <w:tcPr>
            <w:tcW w:type="dxa" w:w="1926"/>
          </w:tcPr>
          <w:p>
            <w:r>
              <w:rPr>
                <w:sz w:val="19"/>
              </w:rPr>
              <w:t>0.92</w:t>
            </w:r>
          </w:p>
        </w:tc>
        <w:tc>
          <w:tcPr>
            <w:tcW w:type="dxa" w:w="1926"/>
          </w:tcPr>
          <w:p>
            <w:r>
              <w:rPr>
                <w:sz w:val="19"/>
              </w:rPr>
              <w:t>67.5%</w:t>
            </w:r>
          </w:p>
        </w:tc>
        <w:tc>
          <w:tcPr>
            <w:tcW w:type="dxa" w:w="1926"/>
          </w:tcPr>
          <w:p>
            <w:r>
              <w:rPr>
                <w:sz w:val="19"/>
              </w:rPr>
              <w:t>0</w:t>
            </w:r>
          </w:p>
        </w:tc>
      </w:tr>
      <w:tr>
        <w:tc>
          <w:tcPr>
            <w:tcW w:type="dxa" w:w="1926"/>
          </w:tcPr>
          <w:p>
            <w:r>
              <w:rPr>
                <w:sz w:val="19"/>
              </w:rPr>
              <w:t>junk_farmer</w:t>
            </w:r>
          </w:p>
        </w:tc>
        <w:tc>
          <w:tcPr>
            <w:tcW w:type="dxa" w:w="1926"/>
          </w:tcPr>
          <w:p>
            <w:r>
              <w:rPr>
                <w:sz w:val="19"/>
              </w:rPr>
              <w:t>ex-post k=1</w:t>
            </w:r>
          </w:p>
        </w:tc>
        <w:tc>
          <w:tcPr>
            <w:tcW w:type="dxa" w:w="1926"/>
          </w:tcPr>
          <w:p>
            <w:r>
              <w:rPr>
                <w:sz w:val="19"/>
              </w:rPr>
              <w:t>0.97</w:t>
            </w:r>
          </w:p>
        </w:tc>
        <w:tc>
          <w:tcPr>
            <w:tcW w:type="dxa" w:w="1926"/>
          </w:tcPr>
          <w:p>
            <w:r>
              <w:rPr>
                <w:sz w:val="19"/>
              </w:rPr>
              <w:t>42.5%</w:t>
            </w:r>
          </w:p>
        </w:tc>
        <w:tc>
          <w:tcPr>
            <w:tcW w:type="dxa" w:w="1926"/>
          </w:tcPr>
          <w:p>
            <w:r>
              <w:rPr>
                <w:sz w:val="19"/>
              </w:rPr>
              <w:t>0</w:t>
            </w:r>
          </w:p>
        </w:tc>
      </w:tr>
      <w:tr>
        <w:tc>
          <w:tcPr>
            <w:tcW w:type="dxa" w:w="1926"/>
          </w:tcPr>
          <w:p>
            <w:r>
              <w:rPr>
                <w:sz w:val="19"/>
              </w:rPr>
              <w:t>junk_farmer</w:t>
            </w:r>
          </w:p>
        </w:tc>
        <w:tc>
          <w:tcPr>
            <w:tcW w:type="dxa" w:w="1926"/>
          </w:tcPr>
          <w:p>
            <w:r>
              <w:rPr>
                <w:sz w:val="19"/>
              </w:rPr>
              <w:t>ex-post k=2</w:t>
            </w:r>
          </w:p>
        </w:tc>
        <w:tc>
          <w:tcPr>
            <w:tcW w:type="dxa" w:w="1926"/>
          </w:tcPr>
          <w:p>
            <w:r>
              <w:rPr>
                <w:sz w:val="19"/>
              </w:rPr>
              <w:t>0.99</w:t>
            </w:r>
          </w:p>
        </w:tc>
        <w:tc>
          <w:tcPr>
            <w:tcW w:type="dxa" w:w="1926"/>
          </w:tcPr>
          <w:p>
            <w:r>
              <w:rPr>
                <w:sz w:val="19"/>
              </w:rPr>
              <w:t>25.0%</w:t>
            </w:r>
          </w:p>
        </w:tc>
        <w:tc>
          <w:tcPr>
            <w:tcW w:type="dxa" w:w="1926"/>
          </w:tcPr>
          <w:p>
            <w:r>
              <w:rPr>
                <w:sz w:val="19"/>
              </w:rPr>
              <w:t>0</w:t>
            </w:r>
          </w:p>
        </w:tc>
      </w:tr>
      <w:tr>
        <w:tc>
          <w:tcPr>
            <w:tcW w:type="dxa" w:w="1926"/>
          </w:tcPr>
          <w:p>
            <w:r>
              <w:rPr>
                <w:sz w:val="19"/>
              </w:rPr>
              <w:t>noise_chaser</w:t>
            </w:r>
          </w:p>
        </w:tc>
        <w:tc>
          <w:tcPr>
            <w:tcW w:type="dxa" w:w="1926"/>
          </w:tcPr>
          <w:p>
            <w:r>
              <w:rPr>
                <w:sz w:val="19"/>
              </w:rPr>
              <w:t>ex-ante</w:t>
            </w:r>
          </w:p>
        </w:tc>
        <w:tc>
          <w:tcPr>
            <w:tcW w:type="dxa" w:w="1926"/>
          </w:tcPr>
          <w:p>
            <w:r>
              <w:rPr>
                <w:sz w:val="19"/>
              </w:rPr>
              <w:t>217.95</w:t>
            </w:r>
          </w:p>
        </w:tc>
        <w:tc>
          <w:tcPr>
            <w:tcW w:type="dxa" w:w="1926"/>
          </w:tcPr>
          <w:p>
            <w:r>
              <w:rPr>
                <w:sz w:val="19"/>
              </w:rPr>
              <w:t>39.5%</w:t>
            </w:r>
          </w:p>
        </w:tc>
        <w:tc>
          <w:tcPr>
            <w:tcW w:type="dxa" w:w="1926"/>
          </w:tcPr>
          <w:p>
            <w:r>
              <w:rPr>
                <w:sz w:val="19"/>
              </w:rPr>
              <w:t>0</w:t>
            </w:r>
          </w:p>
        </w:tc>
      </w:tr>
      <w:tr>
        <w:tc>
          <w:tcPr>
            <w:tcW w:type="dxa" w:w="1926"/>
          </w:tcPr>
          <w:p>
            <w:r>
              <w:rPr>
                <w:sz w:val="19"/>
              </w:rPr>
              <w:t>noise_chaser</w:t>
            </w:r>
          </w:p>
        </w:tc>
        <w:tc>
          <w:tcPr>
            <w:tcW w:type="dxa" w:w="1926"/>
          </w:tcPr>
          <w:p>
            <w:r>
              <w:rPr>
                <w:sz w:val="19"/>
              </w:rPr>
              <w:t>ex-post k=0</w:t>
            </w:r>
          </w:p>
        </w:tc>
        <w:tc>
          <w:tcPr>
            <w:tcW w:type="dxa" w:w="1926"/>
          </w:tcPr>
          <w:p>
            <w:r>
              <w:rPr>
                <w:sz w:val="19"/>
              </w:rPr>
              <w:t>205.63</w:t>
            </w:r>
          </w:p>
        </w:tc>
        <w:tc>
          <w:tcPr>
            <w:tcW w:type="dxa" w:w="1926"/>
          </w:tcPr>
          <w:p>
            <w:r>
              <w:rPr>
                <w:sz w:val="19"/>
              </w:rPr>
              <w:t>49.5%</w:t>
            </w:r>
          </w:p>
        </w:tc>
        <w:tc>
          <w:tcPr>
            <w:tcW w:type="dxa" w:w="1926"/>
          </w:tcPr>
          <w:p>
            <w:r>
              <w:rPr>
                <w:sz w:val="19"/>
              </w:rPr>
              <w:t>0</w:t>
            </w:r>
          </w:p>
        </w:tc>
      </w:tr>
      <w:tr>
        <w:tc>
          <w:tcPr>
            <w:tcW w:type="dxa" w:w="1926"/>
          </w:tcPr>
          <w:p>
            <w:r>
              <w:rPr>
                <w:sz w:val="19"/>
              </w:rPr>
              <w:t>noise_chaser</w:t>
            </w:r>
          </w:p>
        </w:tc>
        <w:tc>
          <w:tcPr>
            <w:tcW w:type="dxa" w:w="1926"/>
          </w:tcPr>
          <w:p>
            <w:r>
              <w:rPr>
                <w:sz w:val="19"/>
              </w:rPr>
              <w:t>ex-post k=1</w:t>
            </w:r>
          </w:p>
        </w:tc>
        <w:tc>
          <w:tcPr>
            <w:tcW w:type="dxa" w:w="1926"/>
          </w:tcPr>
          <w:p>
            <w:r>
              <w:rPr>
                <w:sz w:val="19"/>
              </w:rPr>
              <w:t>210.43</w:t>
            </w:r>
          </w:p>
        </w:tc>
        <w:tc>
          <w:tcPr>
            <w:tcW w:type="dxa" w:w="1926"/>
          </w:tcPr>
          <w:p>
            <w:r>
              <w:rPr>
                <w:sz w:val="19"/>
              </w:rPr>
              <w:t>17.5%</w:t>
            </w:r>
          </w:p>
        </w:tc>
        <w:tc>
          <w:tcPr>
            <w:tcW w:type="dxa" w:w="1926"/>
          </w:tcPr>
          <w:p>
            <w:r>
              <w:rPr>
                <w:sz w:val="19"/>
              </w:rPr>
              <w:t>0</w:t>
            </w:r>
          </w:p>
        </w:tc>
      </w:tr>
      <w:tr>
        <w:tc>
          <w:tcPr>
            <w:tcW w:type="dxa" w:w="1926"/>
          </w:tcPr>
          <w:p>
            <w:r>
              <w:rPr>
                <w:sz w:val="19"/>
              </w:rPr>
              <w:t>noise_chaser</w:t>
            </w:r>
          </w:p>
        </w:tc>
        <w:tc>
          <w:tcPr>
            <w:tcW w:type="dxa" w:w="1926"/>
          </w:tcPr>
          <w:p>
            <w:r>
              <w:rPr>
                <w:sz w:val="19"/>
              </w:rPr>
              <w:t>ex-post k=2</w:t>
            </w:r>
          </w:p>
        </w:tc>
        <w:tc>
          <w:tcPr>
            <w:tcW w:type="dxa" w:w="1926"/>
          </w:tcPr>
          <w:p>
            <w:r>
              <w:rPr>
                <w:sz w:val="19"/>
              </w:rPr>
              <w:t>211.53</w:t>
            </w:r>
          </w:p>
        </w:tc>
        <w:tc>
          <w:tcPr>
            <w:tcW w:type="dxa" w:w="1926"/>
          </w:tcPr>
          <w:p>
            <w:r>
              <w:rPr>
                <w:sz w:val="19"/>
              </w:rPr>
              <w:t>1.5%</w:t>
            </w:r>
          </w:p>
        </w:tc>
        <w:tc>
          <w:tcPr>
            <w:tcW w:type="dxa" w:w="1926"/>
          </w:tcPr>
          <w:p>
            <w:r>
              <w:rPr>
                <w:sz w:val="19"/>
              </w:rPr>
              <w:t>0</w:t>
            </w:r>
          </w:p>
        </w:tc>
      </w:tr>
    </w:tbl>
    <w:p/>
    <w:p>
      <w:r>
        <w:rPr>
          <w:i w:val="0"/>
        </w:rPr>
        <w:t>Gaming table (simulated): no ex-post job earned credits (lowest net 0.20 credits); the simplified ex-ante strawman paid 2 job(s) to run.</w:t>
      </w:r>
    </w:p>
    <w:p>
      <w:pPr>
        <w:pStyle w:val="Heading1"/>
      </w:pPr>
      <w:r>
        <w:t>7. Limitations</w:t>
      </w:r>
    </w:p>
    <w:p>
      <w:pPr>
        <w:pStyle w:val="ListBullet"/>
      </w:pPr>
      <w:r>
        <w:t>CPU package energy only: RAM, display, storage and network are not measured; the laptop's memory and platform power sensors read 0 W.</w:t>
      </w:r>
    </w:p>
    <w:p>
      <w:pPr>
        <w:pStyle w:val="ListBullet"/>
      </w:pPr>
      <w:r>
        <w:t>Attribution by CPU time ignores that P-core and E-core seconds cost different energy on this hybrid CPU.</w:t>
      </w:r>
    </w:p>
    <w:p>
      <w:pPr>
        <w:pStyle w:val="ListBullet"/>
      </w:pPr>
      <w:r>
        <w:t>The server trusts worker measurements; there is no attestation.</w:t>
      </w:r>
    </w:p>
    <w:p>
      <w:pPr>
        <w:pStyle w:val="ListBullet"/>
      </w:pPr>
      <w:r>
        <w:t>Jobs are planned once and never re-planned; one mean intensity is used per job.</w:t>
      </w:r>
    </w:p>
    <w:p>
      <w:pPr>
        <w:pStyle w:val="ListBullet"/>
      </w:pPr>
      <w:r>
        <w:t>Failed jobs are not settled, so their energy is never billed.</w:t>
      </w:r>
    </w:p>
    <w:p>
      <w:pPr>
        <w:pStyle w:val="ListBullet"/>
      </w:pPr>
      <w:r>
        <w:t>Overdue jobs skip tier priority; a job submitted with no wait window is overdue almost immediately.</w:t>
      </w:r>
    </w:p>
    <w:p>
      <w:pPr>
        <w:pStyle w:val="ListBullet"/>
      </w:pPr>
      <w:r>
        <w:t>One laptop, one simulated grid, simulated forecast errors and noise; all parameters are placeholders (Table below). Only a limited literature search was done.</w:t>
      </w:r>
    </w:p>
    <w:p>
      <w:pPr>
        <w:pStyle w:val="Heading1"/>
      </w:pPr>
      <w:r>
        <w:t>8. Placeholder parameters</w:t>
      </w:r>
    </w:p>
    <w:p>
      <w:r>
        <w:rPr>
          <w:i w:val="0"/>
        </w:rPr>
        <w:t>None of these values was calibrated. Each is read from the code that uses it.</w:t>
      </w:r>
    </w:p>
    <w:p>
      <w:pPr>
        <w:pStyle w:val="Caption"/>
      </w:pPr>
      <w:r>
        <w:t>Table 4: Placeholder parameters (values read from the code).</w:t>
      </w:r>
    </w:p>
    <w:tbl>
      <w:tblPr>
        <w:tblStyle w:val="TableGrid"/>
        <w:tblW w:type="auto" w:w="0"/>
        <w:tblLook w:firstColumn="1" w:firstRow="1" w:lastColumn="0" w:lastRow="0" w:noHBand="0" w:noVBand="1" w:val="04A0"/>
      </w:tblPr>
      <w:tblGrid>
        <w:gridCol w:w="3211"/>
        <w:gridCol w:w="3211"/>
        <w:gridCol w:w="3211"/>
      </w:tblGrid>
      <w:tr>
        <w:tc>
          <w:tcPr>
            <w:tcW w:type="dxa" w:w="2381"/>
          </w:tcPr>
          <w:p>
            <w:r>
              <w:rPr>
                <w:sz w:val="19"/>
              </w:rPr>
            </w:r>
            <w:r>
              <w:rPr>
                <w:b/>
                <w:sz w:val="19"/>
              </w:rPr>
              <w:t>parameter</w:t>
            </w:r>
          </w:p>
        </w:tc>
        <w:tc>
          <w:tcPr>
            <w:tcW w:type="dxa" w:w="3969"/>
          </w:tcPr>
          <w:p>
            <w:r>
              <w:rPr>
                <w:sz w:val="19"/>
              </w:rPr>
            </w:r>
            <w:r>
              <w:rPr>
                <w:b/>
                <w:sz w:val="19"/>
              </w:rPr>
              <w:t>value</w:t>
            </w:r>
          </w:p>
        </w:tc>
        <w:tc>
          <w:tcPr>
            <w:tcW w:type="dxa" w:w="2948"/>
          </w:tcPr>
          <w:p>
            <w:r>
              <w:rPr>
                <w:sz w:val="19"/>
              </w:rPr>
            </w:r>
            <w:r>
              <w:rPr>
                <w:b/>
                <w:sz w:val="19"/>
              </w:rPr>
              <w:t>defined in</w:t>
            </w:r>
          </w:p>
        </w:tc>
      </w:tr>
      <w:tr>
        <w:tc>
          <w:tcPr>
            <w:tcW w:type="dxa" w:w="2381"/>
          </w:tcPr>
          <w:p>
            <w:r>
              <w:rPr>
                <w:sz w:val="19"/>
              </w:rPr>
              <w:t>Sensor tolerance</w:t>
            </w:r>
          </w:p>
        </w:tc>
        <w:tc>
          <w:tcPr>
            <w:tcW w:type="dxa" w:w="3969"/>
          </w:tcPr>
          <w:p>
            <w:r>
              <w:rPr>
                <w:sz w:val="19"/>
              </w:rPr>
              <w:t>5% of package energy</w:t>
            </w:r>
          </w:p>
        </w:tc>
        <w:tc>
          <w:tcPr>
            <w:tcW w:type="dxa" w:w="2948"/>
          </w:tcPr>
          <w:p>
            <w:r>
              <w:rPr>
                <w:sz w:val="19"/>
              </w:rPr>
              <w:t>agent/meter.py MeterConfig</w:t>
            </w:r>
          </w:p>
        </w:tc>
      </w:tr>
      <w:tr>
        <w:tc>
          <w:tcPr>
            <w:tcW w:type="dxa" w:w="2381"/>
          </w:tcPr>
          <w:p>
            <w:r>
              <w:rPr>
                <w:sz w:val="19"/>
              </w:rPr>
              <w:t>Attribution coefficients</w:t>
            </w:r>
          </w:p>
        </w:tc>
        <w:tc>
          <w:tcPr>
            <w:tcW w:type="dxa" w:w="3969"/>
          </w:tcPr>
          <w:p>
            <w:r>
              <w:rPr>
                <w:sz w:val="19"/>
              </w:rPr>
              <w:t>base 0.05, k 0.2</w:t>
            </w:r>
          </w:p>
        </w:tc>
        <w:tc>
          <w:tcPr>
            <w:tcW w:type="dxa" w:w="2948"/>
          </w:tcPr>
          <w:p>
            <w:r>
              <w:rPr>
                <w:sz w:val="19"/>
              </w:rPr>
              <w:t>agent/meter.py MeterConfig</w:t>
            </w:r>
          </w:p>
        </w:tc>
      </w:tr>
      <w:tr>
        <w:tc>
          <w:tcPr>
            <w:tcW w:type="dxa" w:w="2381"/>
          </w:tcPr>
          <w:p>
            <w:r>
              <w:rPr>
                <w:sz w:val="19"/>
              </w:rPr>
              <w:t>Intensity uncertainty</w:t>
            </w:r>
          </w:p>
        </w:tc>
        <w:tc>
          <w:tcPr>
            <w:tcW w:type="dxa" w:w="3969"/>
          </w:tcPr>
          <w:p>
            <w:r>
              <w:rPr>
                <w:sz w:val="19"/>
              </w:rPr>
              <w:t>10% relative (simulated curve)</w:t>
            </w:r>
          </w:p>
        </w:tc>
        <w:tc>
          <w:tcPr>
            <w:tcW w:type="dxa" w:w="2948"/>
          </w:tcPr>
          <w:p>
            <w:r>
              <w:rPr>
                <w:sz w:val="19"/>
              </w:rPr>
              <w:t>intensity/provider.py SimulatedCurve</w:t>
            </w:r>
          </w:p>
        </w:tc>
      </w:tr>
      <w:tr>
        <w:tc>
          <w:tcPr>
            <w:tcW w:type="dxa" w:w="2381"/>
          </w:tcPr>
          <w:p>
            <w:r>
              <w:rPr>
                <w:sz w:val="19"/>
              </w:rPr>
              <w:t>Forecast error model</w:t>
            </w:r>
          </w:p>
        </w:tc>
        <w:tc>
          <w:tcPr>
            <w:tcW w:type="dxa" w:w="3969"/>
          </w:tcPr>
          <w:p>
            <w:r>
              <w:rPr>
                <w:sz w:val="19"/>
              </w:rPr>
              <w:t>5% + 2% per hour of lead, max 40%, bias 0</w:t>
            </w:r>
          </w:p>
        </w:tc>
        <w:tc>
          <w:tcPr>
            <w:tcW w:type="dxa" w:w="2948"/>
          </w:tcPr>
          <w:p>
            <w:r>
              <w:rPr>
                <w:sz w:val="19"/>
              </w:rPr>
              <w:t>intensity/timeline.py ForecastErrorModel</w:t>
            </w:r>
          </w:p>
        </w:tc>
      </w:tr>
      <w:tr>
        <w:tc>
          <w:tcPr>
            <w:tcW w:type="dxa" w:w="2381"/>
          </w:tcPr>
          <w:p>
            <w:r>
              <w:rPr>
                <w:sz w:val="19"/>
              </w:rPr>
              <w:t>Tier thresholds</w:t>
            </w:r>
          </w:p>
        </w:tc>
        <w:tc>
          <w:tcPr>
            <w:tcW w:type="dxa" w:w="3969"/>
          </w:tcPr>
          <w:p>
            <w:r>
              <w:rPr>
                <w:sz w:val="19"/>
              </w:rPr>
              <w:t>red &lt; 20, standard 20-100, green &gt;= 100 credits; priority 0/1/2; max running 1/1/2</w:t>
            </w:r>
          </w:p>
        </w:tc>
        <w:tc>
          <w:tcPr>
            <w:tcW w:type="dxa" w:w="2948"/>
          </w:tcPr>
          <w:p>
            <w:r>
              <w:rPr>
                <w:sz w:val="19"/>
              </w:rPr>
              <w:t>ledger/config.py DEFAULT_TIERS</w:t>
            </w:r>
          </w:p>
        </w:tc>
      </w:tr>
      <w:tr>
        <w:tc>
          <w:tcPr>
            <w:tcW w:type="dxa" w:w="2381"/>
          </w:tcPr>
          <w:p>
            <w:r>
              <w:rPr>
                <w:sz w:val="19"/>
              </w:rPr>
              <w:t>p (credits per g CO2e)</w:t>
            </w:r>
          </w:p>
        </w:tc>
        <w:tc>
          <w:tcPr>
            <w:tcW w:type="dxa" w:w="3969"/>
          </w:tcPr>
          <w:p>
            <w:r>
              <w:rPr>
                <w:sz w:val="19"/>
              </w:rPr>
              <w:t>1000</w:t>
            </w:r>
          </w:p>
        </w:tc>
        <w:tc>
          <w:tcPr>
            <w:tcW w:type="dxa" w:w="2948"/>
          </w:tcPr>
          <w:p>
            <w:r>
              <w:rPr>
                <w:sz w:val="19"/>
              </w:rPr>
              <w:t>settlement/rules.py SettlementParams</w:t>
            </w:r>
          </w:p>
        </w:tc>
      </w:tr>
      <w:tr>
        <w:tc>
          <w:tcPr>
            <w:tcW w:type="dxa" w:w="2381"/>
          </w:tcPr>
          <w:p>
            <w:r>
              <w:rPr>
                <w:sz w:val="19"/>
              </w:rPr>
              <w:t>rho (rebate share)</w:t>
            </w:r>
          </w:p>
        </w:tc>
        <w:tc>
          <w:tcPr>
            <w:tcW w:type="dxa" w:w="3969"/>
          </w:tcPr>
          <w:p>
            <w:r>
              <w:rPr>
                <w:sz w:val="19"/>
              </w:rPr>
              <w:t>0.5</w:t>
            </w:r>
          </w:p>
        </w:tc>
        <w:tc>
          <w:tcPr>
            <w:tcW w:type="dxa" w:w="2948"/>
          </w:tcPr>
          <w:p>
            <w:r>
              <w:rPr>
                <w:sz w:val="19"/>
              </w:rPr>
              <w:t>settlement/rules.py SettlementParams</w:t>
            </w:r>
          </w:p>
        </w:tc>
      </w:tr>
      <w:tr>
        <w:tc>
          <w:tcPr>
            <w:tcW w:type="dxa" w:w="2381"/>
          </w:tcPr>
          <w:p>
            <w:r>
              <w:rPr>
                <w:sz w:val="19"/>
              </w:rPr>
              <w:t>gamma (rebate cap / fee)</w:t>
            </w:r>
          </w:p>
        </w:tc>
        <w:tc>
          <w:tcPr>
            <w:tcW w:type="dxa" w:w="3969"/>
          </w:tcPr>
          <w:p>
            <w:r>
              <w:rPr>
                <w:sz w:val="19"/>
              </w:rPr>
              <w:t>0.6</w:t>
            </w:r>
          </w:p>
        </w:tc>
        <w:tc>
          <w:tcPr>
            <w:tcW w:type="dxa" w:w="2948"/>
          </w:tcPr>
          <w:p>
            <w:r>
              <w:rPr>
                <w:sz w:val="19"/>
              </w:rPr>
              <w:t>settlement/rules.py SettlementParams</w:t>
            </w:r>
          </w:p>
        </w:tc>
      </w:tr>
      <w:tr>
        <w:tc>
          <w:tcPr>
            <w:tcW w:type="dxa" w:w="2381"/>
          </w:tcPr>
          <w:p>
            <w:r>
              <w:rPr>
                <w:sz w:val="19"/>
              </w:rPr>
              <w:t>k (dead-zone width)</w:t>
            </w:r>
          </w:p>
        </w:tc>
        <w:tc>
          <w:tcPr>
            <w:tcW w:type="dxa" w:w="3969"/>
          </w:tcPr>
          <w:p>
            <w:r>
              <w:rPr>
                <w:sz w:val="19"/>
              </w:rPr>
              <w:t>1</w:t>
            </w:r>
          </w:p>
        </w:tc>
        <w:tc>
          <w:tcPr>
            <w:tcW w:type="dxa" w:w="2948"/>
          </w:tcPr>
          <w:p>
            <w:r>
              <w:rPr>
                <w:sz w:val="19"/>
              </w:rPr>
              <w:t>settlement/rules.py SettlementParams</w:t>
            </w:r>
          </w:p>
        </w:tc>
      </w:tr>
      <w:tr>
        <w:tc>
          <w:tcPr>
            <w:tcW w:type="dxa" w:w="2381"/>
          </w:tcPr>
          <w:p>
            <w:r>
              <w:rPr>
                <w:sz w:val="19"/>
              </w:rPr>
              <w:t>sigma (backfire surcharge)</w:t>
            </w:r>
          </w:p>
        </w:tc>
        <w:tc>
          <w:tcPr>
            <w:tcW w:type="dxa" w:w="3969"/>
          </w:tcPr>
          <w:p>
            <w:r>
              <w:rPr>
                <w:sz w:val="19"/>
              </w:rPr>
              <w:t>0</w:t>
            </w:r>
          </w:p>
        </w:tc>
        <w:tc>
          <w:tcPr>
            <w:tcW w:type="dxa" w:w="2948"/>
          </w:tcPr>
          <w:p>
            <w:r>
              <w:rPr>
                <w:sz w:val="19"/>
              </w:rPr>
              <w:t>settlement/rules.py SettlementParams</w:t>
            </w:r>
          </w:p>
        </w:tc>
      </w:tr>
      <w:tr>
        <w:tc>
          <w:tcPr>
            <w:tcW w:type="dxa" w:w="2381"/>
          </w:tcPr>
          <w:p>
            <w:r>
              <w:rPr>
                <w:sz w:val="19"/>
              </w:rPr>
              <w:t>Decay half-life</w:t>
            </w:r>
          </w:p>
        </w:tc>
        <w:tc>
          <w:tcPr>
            <w:tcW w:type="dxa" w:w="3969"/>
          </w:tcPr>
          <w:p>
            <w:r>
              <w:rPr>
                <w:sz w:val="19"/>
              </w:rPr>
              <w:t>30 days</w:t>
            </w:r>
          </w:p>
        </w:tc>
        <w:tc>
          <w:tcPr>
            <w:tcW w:type="dxa" w:w="2948"/>
          </w:tcPr>
          <w:p>
            <w:r>
              <w:rPr>
                <w:sz w:val="19"/>
              </w:rPr>
              <w:t>ledger/config.py LedgerConfig</w:t>
            </w:r>
          </w:p>
        </w:tc>
      </w:tr>
      <w:tr>
        <w:tc>
          <w:tcPr>
            <w:tcW w:type="dxa" w:w="2381"/>
          </w:tcPr>
          <w:p>
            <w:r>
              <w:rPr>
                <w:sz w:val="19"/>
              </w:rPr>
              <w:t>Monthly allowance</w:t>
            </w:r>
          </w:p>
        </w:tc>
        <w:tc>
          <w:tcPr>
            <w:tcW w:type="dxa" w:w="3969"/>
          </w:tcPr>
          <w:p>
            <w:r>
              <w:rPr>
                <w:sz w:val="19"/>
              </w:rPr>
              <w:t>100 credits</w:t>
            </w:r>
          </w:p>
        </w:tc>
        <w:tc>
          <w:tcPr>
            <w:tcW w:type="dxa" w:w="2948"/>
          </w:tcPr>
          <w:p>
            <w:r>
              <w:rPr>
                <w:sz w:val="19"/>
              </w:rPr>
              <w:t>ledger/config.py LedgerConfig</w:t>
            </w:r>
          </w:p>
        </w:tc>
      </w:tr>
    </w:tbl>
    <w:p/>
    <w:p>
      <w:pPr>
        <w:pStyle w:val="Heading1"/>
      </w:pPr>
      <w:r>
        <w:t>9. Conclusion</w:t>
      </w:r>
    </w:p>
    <w:p>
      <w:r>
        <w:rPr>
          <w:i w:val="0"/>
        </w:rPr>
        <w:t>GreenSettle shows that carbon incentives for scheduled jobs can be settled after the run, from measured energy and actual grid data, with uncertainty carried through to the payment. In the simulations, scheduling within a wait window lowered emissions per job, the dead zone suppressed rewards for savings that were only noise, and no ex-post settlement ever paid a job to run. The real-hardware repeatability of the measurement (E1) and the calibration of every placeholder are the next steps.</w:t>
      </w:r>
    </w:p>
    <w:p>
      <w:r>
        <w:rPr>
          <w:b/>
          <w:color w:val="D03B3B"/>
        </w:rPr>
        <w:t>E1 is PENDING (run on the laptop); this conclusion does not yet include real-laptop evidence.</w:t>
      </w:r>
    </w:p>
    <w:p>
      <w:pPr>
        <w:pStyle w:val="Heading1"/>
      </w:pPr>
      <w:r>
        <w:t>Appendix A: Reproduce</w:t>
      </w:r>
    </w:p>
    <w:p>
      <w:pPr>
        <w:spacing w:after="0"/>
      </w:pPr>
      <w:r>
        <w:rPr>
          <w:rFonts w:ascii="Consolas" w:hAnsi="Consolas"/>
          <w:sz w:val="19"/>
        </w:rPr>
        <w:t>python -m venv .venv &amp;&amp; .venv\Scripts\Activate.ps1</w:t>
      </w:r>
    </w:p>
    <w:p>
      <w:pPr>
        <w:spacing w:after="0"/>
      </w:pPr>
      <w:r>
        <w:rPr>
          <w:rFonts w:ascii="Consolas" w:hAnsi="Consolas"/>
          <w:sz w:val="19"/>
        </w:rPr>
        <w:t>pip install -r requirements.txt -r requirements-report.txt</w:t>
      </w:r>
    </w:p>
    <w:p>
      <w:pPr>
        <w:spacing w:after="0"/>
      </w:pPr>
      <w:r>
        <w:rPr>
          <w:rFonts w:ascii="Consolas" w:hAnsi="Consolas"/>
          <w:sz w:val="19"/>
        </w:rPr>
        <w:t>python -m pytest                                  # hardware tests skipped</w:t>
      </w:r>
    </w:p>
    <w:p>
      <w:pPr>
        <w:spacing w:after="0"/>
      </w:pPr>
      <w:r>
        <w:rPr>
          <w:rFonts w:ascii="Consolas" w:hAnsi="Consolas"/>
          <w:sz w:val="19"/>
        </w:rPr>
        <w:t>python experiments/run_offline.py                 # worked examples, gaming table, E3, E4, SUMMARY.md</w:t>
      </w:r>
    </w:p>
    <w:p>
      <w:pPr>
        <w:spacing w:after="0"/>
      </w:pPr>
      <w:r>
        <w:rPr>
          <w:rFonts w:ascii="Consolas" w:hAnsi="Consolas"/>
          <w:sz w:val="19"/>
        </w:rPr>
        <w:t>python -m greensettle.cli calibrate-idle --seconds 30          # on the laptop</w:t>
      </w:r>
    </w:p>
    <w:p>
      <w:pPr>
        <w:spacing w:after="0"/>
      </w:pPr>
      <w:r>
        <w:rPr>
          <w:rFonts w:ascii="Consolas" w:hAnsi="Consolas"/>
          <w:sz w:val="19"/>
        </w:rPr>
        <w:t>python experiments/e1_repeatability.py --repeats 6 --seconds 20 --workers 1,4</w:t>
      </w:r>
    </w:p>
    <w:p>
      <w:pPr>
        <w:spacing w:after="0"/>
      </w:pPr>
      <w:r>
        <w:rPr>
          <w:rFonts w:ascii="Consolas" w:hAnsi="Consolas"/>
          <w:sz w:val="19"/>
        </w:rPr>
        <w:t>python report/make_figures.py</w:t>
      </w:r>
    </w:p>
    <w:p>
      <w:pPr>
        <w:spacing w:after="0"/>
      </w:pPr>
      <w:r>
        <w:rPr>
          <w:rFonts w:ascii="Consolas" w:hAnsi="Consolas"/>
          <w:sz w:val="19"/>
        </w:rPr>
        <w:t>python report/make_poster.py</w:t>
      </w:r>
    </w:p>
    <w:p>
      <w:pPr>
        <w:spacing w:after="0"/>
      </w:pPr>
      <w:r>
        <w:rPr>
          <w:rFonts w:ascii="Consolas" w:hAnsi="Consolas"/>
          <w:sz w:val="19"/>
        </w:rPr>
        <w:t>python report/make_report.py</w:t>
      </w:r>
    </w:p>
    <w:p/>
    <w:sectPr w:rsidR="00FC693F" w:rsidRPr="0006063C" w:rsidSect="00034616">
      <w:pgSz w:w="12240" w:h="15840"/>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