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color w:val="111111"/>
          <w:sz w:val="34"/>
          <w:szCs w:val="34"/>
        </w:rPr>
        <w:t xml:space="preserve">Plan2Build user flows: questions on your review</w:t>
      </w:r>
    </w:p>
    <w:p>
      <w:pPr>
        <w:keepNext w:val="false"/>
        <w:keepLines/>
        <w:spacing w:after="80" w:before="0" w:line="276"/>
      </w:pPr>
      <w:r>
        <w:rPr>
          <w:rFonts w:ascii="Arial" w:cs="Arial" w:eastAsia="Arial" w:hAnsi="Arial"/>
          <w:color w:val="555555"/>
          <w:sz w:val="21"/>
          <w:szCs w:val="21"/>
        </w:rPr>
        <w:t xml:space="preserve">3 October 2026</w:t>
      </w:r>
    </w:p>
    <w:p>
      <w:pPr>
        <w:pBdr>
          <w:bottom w:val="single" w:color="111111" w:sz="8" w:space="4"/>
        </w:pBdr>
        <w:spacing w:after="240"/>
      </w:pPr>
    </w:p>
    <w:p>
      <w:pPr>
        <w:keepNext w:val="false"/>
        <w:keepLines/>
        <w:spacing w:after="120" w:before="0" w:line="276"/>
      </w:pPr>
      <w:r>
        <w:rPr>
          <w:rFonts w:ascii="Arial" w:cs="Arial" w:eastAsia="Arial" w:hAnsi="Arial"/>
          <w:color w:val="111111"/>
          <w:sz w:val="21"/>
          <w:szCs w:val="21"/>
        </w:rPr>
        <w:t xml:space="preserve">Thank you for your notes on Sections 2 to 4. Most of them are clear and will go into the updated flow. The points below need a short answer first.</w:t>
      </w:r>
    </w:p>
    <w:p>
      <w:pPr>
        <w:keepNext w:val="false"/>
        <w:keepLines/>
        <w:spacing w:after="280" w:before="0" w:line="276"/>
      </w:pPr>
      <w:r>
        <w:rPr>
          <w:rFonts w:ascii="Arial" w:cs="Arial" w:eastAsia="Arial" w:hAnsi="Arial"/>
          <w:color w:val="111111"/>
          <w:sz w:val="21"/>
          <w:szCs w:val="21"/>
        </w:rPr>
        <w:t xml:space="preserve">For each point we have written how we read your note. A “yes”, or a short correction, is enough. Space for your answer is under each question.</w:t>
      </w:r>
    </w:p>
    <w:p>
      <w:pPr>
        <w:pStyle w:val="Heading2"/>
        <w:keepNext/>
        <w:keepLines/>
        <w:spacing w:after="100" w:before="120"/>
      </w:pPr>
      <w:r>
        <w:rPr>
          <w:rFonts w:ascii="Arial" w:cs="Arial" w:eastAsia="Arial" w:hAnsi="Arial"/>
          <w:b/>
          <w:bCs/>
          <w:color w:val="111111"/>
          <w:sz w:val="24"/>
          <w:szCs w:val="24"/>
        </w:rPr>
        <w:t xml:space="preserve">1. Payments: done or not done</w:t>
      </w:r>
    </w:p>
    <w:p>
      <w:pPr>
        <w:keepNext/>
        <w:keepLines/>
        <w:spacing w:after="80" w:before="0" w:line="276"/>
        <w:ind w:left="360"/>
      </w:pPr>
      <w:r>
        <w:rPr>
          <w:rFonts w:ascii="Arial" w:cs="Arial" w:eastAsia="Arial" w:hAnsi="Arial"/>
          <w:b/>
          <w:bCs/>
          <w:color w:val="111111"/>
          <w:sz w:val="21"/>
          <w:szCs w:val="21"/>
        </w:rPr>
        <w:t xml:space="preserve">Where: </w:t>
      </w:r>
      <w:r>
        <w:rPr>
          <w:rFonts w:ascii="Arial" w:cs="Arial" w:eastAsia="Arial" w:hAnsi="Arial"/>
          <w:color w:val="111111"/>
          <w:sz w:val="21"/>
          <w:szCs w:val="21"/>
        </w:rPr>
        <w:t xml:space="preserve">Section 2, step 15 (Completion approval and payment). Also Section 1, step 23 (Handover) and step 20 (Money position).</w:t>
      </w:r>
    </w:p>
    <w:p>
      <w:pPr>
        <w:keepNext/>
        <w:keepLines/>
        <w:spacing w:after="80" w:before="0" w:line="276"/>
        <w:ind w:left="360"/>
      </w:pPr>
      <w:r>
        <w:rPr>
          <w:rFonts w:ascii="Arial" w:cs="Arial" w:eastAsia="Arial" w:hAnsi="Arial"/>
          <w:b/>
          <w:bCs/>
          <w:color w:val="111111"/>
          <w:sz w:val="21"/>
          <w:szCs w:val="21"/>
        </w:rPr>
        <w:t xml:space="preserve">Your note: </w:t>
      </w:r>
      <w:r>
        <w:rPr>
          <w:rFonts w:ascii="Arial" w:cs="Arial" w:eastAsia="Arial" w:hAnsi="Arial"/>
          <w:i/>
          <w:iCs/>
          <w:color w:val="111111"/>
          <w:sz w:val="21"/>
          <w:szCs w:val="21"/>
        </w:rPr>
        <w:t xml:space="preserve">“(Optional) Keep this out of scope. Only done or not done record.” (step 15) and “Payment acknowledgement here is not quantified.” (step 23)</w:t>
      </w:r>
    </w:p>
    <w:p>
      <w:pPr>
        <w:keepNext/>
        <w:keepLines/>
        <w:spacing w:after="80" w:before="0" w:line="276"/>
        <w:ind w:left="360"/>
      </w:pPr>
      <w:r>
        <w:rPr>
          <w:rFonts w:ascii="Arial" w:cs="Arial" w:eastAsia="Arial" w:hAnsi="Arial"/>
          <w:b/>
          <w:bCs/>
          <w:color w:val="111111"/>
          <w:sz w:val="21"/>
          <w:szCs w:val="21"/>
        </w:rPr>
        <w:t xml:space="preserve">How we read it: </w:t>
      </w:r>
      <w:r>
        <w:rPr>
          <w:rFonts w:ascii="Arial" w:cs="Arial" w:eastAsia="Arial" w:hAnsi="Arial"/>
          <w:color w:val="111111"/>
          <w:sz w:val="21"/>
          <w:szCs w:val="21"/>
        </w:rPr>
        <w:t xml:space="preserve">Payments are made directly between the homeowner and the professional; nothing is paid through Plan2Build. Recording a payment is optional, and it is only marked as done or not done, with no amount. At handover, the final payment is marked the same way.</w:t>
      </w:r>
    </w:p>
    <w:p>
      <w:pPr>
        <w:keepNext/>
        <w:keepLines/>
        <w:spacing w:after="80" w:before="0" w:line="276"/>
        <w:ind w:left="360"/>
      </w:pPr>
      <w:r>
        <w:rPr>
          <w:rFonts w:ascii="Arial" w:cs="Arial" w:eastAsia="Arial" w:hAnsi="Arial"/>
          <w:b/>
          <w:bCs/>
          <w:color w:val="111111"/>
          <w:sz w:val="21"/>
          <w:szCs w:val="21"/>
        </w:rPr>
        <w:t xml:space="preserve">Question: </w:t>
      </w:r>
      <w:r>
        <w:rPr>
          <w:rFonts w:ascii="Arial" w:cs="Arial" w:eastAsia="Arial" w:hAnsi="Arial"/>
          <w:color w:val="111111"/>
          <w:sz w:val="21"/>
          <w:szCs w:val="21"/>
        </w:rPr>
        <w:t xml:space="preserve">Is this right? And should the money position (Section 1, step 20) still show amounts such as contract value, approved changes and projected final cost, with stage payments shown only as done or not done?</w:t>
      </w:r>
    </w:p>
    <w:p>
      <w:pPr>
        <w:keepNext/>
        <w:keepLines/>
        <w:spacing w:after="0" w:before="60" w:line="276"/>
        <w:ind w:left="360"/>
      </w:pPr>
      <w:r>
        <w:rPr>
          <w:rFonts w:ascii="Arial" w:cs="Arial" w:eastAsia="Arial" w:hAnsi="Arial"/>
          <w:b/>
          <w:bCs/>
          <w:color w:val="111111"/>
          <w:sz w:val="21"/>
          <w:szCs w:val="21"/>
        </w:rPr>
        <w:t xml:space="preserve">Your answer:</w:t>
      </w:r>
    </w:p>
    <w:p>
      <w:pPr>
        <w:keepNext/>
        <w:keepLines/>
        <w:pBdr>
          <w:bottom w:val="single" w:color="9A9A9A" w:sz="4" w:space="1"/>
          <w:between w:val="single" w:color="9A9A9A" w:sz="4" w:space="1"/>
        </w:pBdr>
        <w:spacing w:after="0" w:before="0" w:line="276"/>
        <w:ind w:left="360"/>
      </w:pPr>
      <w:r>
        <w:rPr>
          <w:rFonts w:ascii="Arial" w:cs="Arial" w:eastAsia="Arial" w:hAnsi="Arial"/>
          <w:color w:val="111111"/>
          <w:sz w:val="21"/>
          <w:szCs w:val="21"/>
        </w:rPr>
        <w:t xml:space="preserve"> </w:t>
      </w:r>
    </w:p>
    <w:p>
      <w:pPr>
        <w:keepNext/>
        <w:keepLines/>
        <w:pBdr>
          <w:bottom w:val="single" w:color="9A9A9A" w:sz="4" w:space="1"/>
          <w:between w:val="single" w:color="9A9A9A" w:sz="4" w:space="1"/>
        </w:pBdr>
        <w:spacing w:after="0" w:before="160" w:line="276"/>
        <w:ind w:left="360"/>
      </w:pPr>
      <w:r>
        <w:rPr>
          <w:rFonts w:ascii="Arial" w:cs="Arial" w:eastAsia="Arial" w:hAnsi="Arial"/>
          <w:color w:val="111111"/>
          <w:sz w:val="21"/>
          <w:szCs w:val="21"/>
        </w:rPr>
        <w:t xml:space="preserve"> </w:t>
      </w:r>
    </w:p>
    <w:p>
      <w:pPr>
        <w:keepNext w:val="false"/>
        <w:keepLines/>
        <w:pBdr>
          <w:bottom w:val="single" w:color="9A9A9A" w:sz="4" w:space="1"/>
          <w:between w:val="single" w:color="9A9A9A" w:sz="4" w:space="1"/>
        </w:pBdr>
        <w:spacing w:after="280" w:before="160" w:line="276"/>
        <w:ind w:left="360"/>
      </w:pPr>
      <w:r>
        <w:rPr>
          <w:rFonts w:ascii="Arial" w:cs="Arial" w:eastAsia="Arial" w:hAnsi="Arial"/>
          <w:color w:val="111111"/>
          <w:sz w:val="21"/>
          <w:szCs w:val="21"/>
        </w:rPr>
        <w:t xml:space="preserve"> </w:t>
      </w:r>
    </w:p>
    <w:p>
      <w:pPr>
        <w:pStyle w:val="Heading2"/>
        <w:keepNext/>
        <w:keepLines/>
        <w:spacing w:after="100" w:before="120"/>
      </w:pPr>
      <w:r>
        <w:rPr>
          <w:rFonts w:ascii="Arial" w:cs="Arial" w:eastAsia="Arial" w:hAnsi="Arial"/>
          <w:b/>
          <w:bCs/>
          <w:color w:val="111111"/>
          <w:sz w:val="24"/>
          <w:szCs w:val="24"/>
        </w:rPr>
        <w:t xml:space="preserve">2. Joining routes and listing at POC</w:t>
      </w:r>
    </w:p>
    <w:p>
      <w:pPr>
        <w:keepNext/>
        <w:keepLines/>
        <w:spacing w:after="80" w:before="0" w:line="276"/>
        <w:ind w:left="360"/>
      </w:pPr>
      <w:r>
        <w:rPr>
          <w:rFonts w:ascii="Arial" w:cs="Arial" w:eastAsia="Arial" w:hAnsi="Arial"/>
          <w:b/>
          <w:bCs/>
          <w:color w:val="111111"/>
          <w:sz w:val="21"/>
          <w:szCs w:val="21"/>
        </w:rPr>
        <w:t xml:space="preserve">Where: </w:t>
      </w:r>
      <w:r>
        <w:rPr>
          <w:rFonts w:ascii="Arial" w:cs="Arial" w:eastAsia="Arial" w:hAnsi="Arial"/>
          <w:color w:val="111111"/>
          <w:sz w:val="21"/>
          <w:szCs w:val="21"/>
        </w:rPr>
        <w:t xml:space="preserve">Section 2, step 1 and the “How does the professional join?” decision. Section 4, marketplace path.</w:t>
      </w:r>
    </w:p>
    <w:p>
      <w:pPr>
        <w:keepNext/>
        <w:keepLines/>
        <w:spacing w:after="80" w:before="0" w:line="276"/>
        <w:ind w:left="360"/>
      </w:pPr>
      <w:r>
        <w:rPr>
          <w:rFonts w:ascii="Arial" w:cs="Arial" w:eastAsia="Arial" w:hAnsi="Arial"/>
          <w:b/>
          <w:bCs/>
          <w:color w:val="111111"/>
          <w:sz w:val="21"/>
          <w:szCs w:val="21"/>
        </w:rPr>
        <w:t xml:space="preserve">Your note: </w:t>
      </w:r>
      <w:r>
        <w:rPr>
          <w:rFonts w:ascii="Arial" w:cs="Arial" w:eastAsia="Arial" w:hAnsi="Arial"/>
          <w:i/>
          <w:iCs/>
          <w:color w:val="111111"/>
          <w:sz w:val="21"/>
          <w:szCs w:val="21"/>
        </w:rPr>
        <w:t xml:space="preserve">“All 3 routes should be available.” and “Can be shown as intent for future development. However contractor listing is part of POC.”</w:t>
      </w:r>
    </w:p>
    <w:p>
      <w:pPr>
        <w:keepNext/>
        <w:keepLines/>
        <w:spacing w:after="80" w:before="0" w:line="276"/>
        <w:ind w:left="360"/>
      </w:pPr>
      <w:r>
        <w:rPr>
          <w:rFonts w:ascii="Arial" w:cs="Arial" w:eastAsia="Arial" w:hAnsi="Arial"/>
          <w:b/>
          <w:bCs/>
          <w:color w:val="111111"/>
          <w:sz w:val="21"/>
          <w:szCs w:val="21"/>
        </w:rPr>
        <w:t xml:space="preserve">How we read it: </w:t>
      </w:r>
      <w:r>
        <w:rPr>
          <w:rFonts w:ascii="Arial" w:cs="Arial" w:eastAsia="Arial" w:hAnsi="Arial"/>
          <w:color w:val="111111"/>
          <w:sz w:val="21"/>
          <w:szCs w:val="21"/>
        </w:rPr>
        <w:t xml:space="preserve">All three joining routes stay: an invitation to one project, a listing in the directory, and registering on the platform. The full marketplace (matching, platform payments, reviews) is shown as future development, while contractor listing is part of the POC.</w:t>
      </w:r>
    </w:p>
    <w:p>
      <w:pPr>
        <w:keepNext/>
        <w:keepLines/>
        <w:spacing w:after="80" w:before="0" w:line="276"/>
        <w:ind w:left="360"/>
      </w:pPr>
      <w:r>
        <w:rPr>
          <w:rFonts w:ascii="Arial" w:cs="Arial" w:eastAsia="Arial" w:hAnsi="Arial"/>
          <w:b/>
          <w:bCs/>
          <w:color w:val="111111"/>
          <w:sz w:val="21"/>
          <w:szCs w:val="21"/>
        </w:rPr>
        <w:t xml:space="preserve">Question: </w:t>
      </w:r>
      <w:r>
        <w:rPr>
          <w:rFonts w:ascii="Arial" w:cs="Arial" w:eastAsia="Arial" w:hAnsi="Arial"/>
          <w:color w:val="111111"/>
          <w:sz w:val="21"/>
          <w:szCs w:val="21"/>
        </w:rPr>
        <w:t xml:space="preserve">At POC, are all three routes live, or does registering for matched opportunities come later with the marketplace? Is the POC listing only for contractors, or also for architects, interior designers and specialists?</w:t>
      </w:r>
    </w:p>
    <w:p>
      <w:pPr>
        <w:keepNext/>
        <w:keepLines/>
        <w:spacing w:after="0" w:before="60" w:line="276"/>
        <w:ind w:left="360"/>
      </w:pPr>
      <w:r>
        <w:rPr>
          <w:rFonts w:ascii="Arial" w:cs="Arial" w:eastAsia="Arial" w:hAnsi="Arial"/>
          <w:b/>
          <w:bCs/>
          <w:color w:val="111111"/>
          <w:sz w:val="21"/>
          <w:szCs w:val="21"/>
        </w:rPr>
        <w:t xml:space="preserve">Your answer:</w:t>
      </w:r>
    </w:p>
    <w:p>
      <w:pPr>
        <w:keepNext/>
        <w:keepLines/>
        <w:pBdr>
          <w:bottom w:val="single" w:color="9A9A9A" w:sz="4" w:space="1"/>
          <w:between w:val="single" w:color="9A9A9A" w:sz="4" w:space="1"/>
        </w:pBdr>
        <w:spacing w:after="0" w:before="0" w:line="276"/>
        <w:ind w:left="360"/>
      </w:pPr>
      <w:r>
        <w:rPr>
          <w:rFonts w:ascii="Arial" w:cs="Arial" w:eastAsia="Arial" w:hAnsi="Arial"/>
          <w:color w:val="111111"/>
          <w:sz w:val="21"/>
          <w:szCs w:val="21"/>
        </w:rPr>
        <w:t xml:space="preserve"> </w:t>
      </w:r>
    </w:p>
    <w:p>
      <w:pPr>
        <w:keepNext/>
        <w:keepLines/>
        <w:pBdr>
          <w:bottom w:val="single" w:color="9A9A9A" w:sz="4" w:space="1"/>
          <w:between w:val="single" w:color="9A9A9A" w:sz="4" w:space="1"/>
        </w:pBdr>
        <w:spacing w:after="0" w:before="160" w:line="276"/>
        <w:ind w:left="360"/>
      </w:pPr>
      <w:r>
        <w:rPr>
          <w:rFonts w:ascii="Arial" w:cs="Arial" w:eastAsia="Arial" w:hAnsi="Arial"/>
          <w:color w:val="111111"/>
          <w:sz w:val="21"/>
          <w:szCs w:val="21"/>
        </w:rPr>
        <w:t xml:space="preserve"> </w:t>
      </w:r>
    </w:p>
    <w:p>
      <w:pPr>
        <w:keepNext w:val="false"/>
        <w:keepLines/>
        <w:pBdr>
          <w:bottom w:val="single" w:color="9A9A9A" w:sz="4" w:space="1"/>
          <w:between w:val="single" w:color="9A9A9A" w:sz="4" w:space="1"/>
        </w:pBdr>
        <w:spacing w:after="280" w:before="160" w:line="276"/>
        <w:ind w:left="360"/>
      </w:pPr>
      <w:r>
        <w:rPr>
          <w:rFonts w:ascii="Arial" w:cs="Arial" w:eastAsia="Arial" w:hAnsi="Arial"/>
          <w:color w:val="111111"/>
          <w:sz w:val="21"/>
          <w:szCs w:val="21"/>
        </w:rPr>
        <w:t xml:space="preserve"> </w:t>
      </w:r>
    </w:p>
    <w:p>
      <w:pPr>
        <w:pStyle w:val="Heading2"/>
        <w:keepNext/>
        <w:keepLines/>
        <w:spacing w:after="100" w:before="120"/>
      </w:pPr>
      <w:r>
        <w:rPr>
          <w:rFonts w:ascii="Arial" w:cs="Arial" w:eastAsia="Arial" w:hAnsi="Arial"/>
          <w:b/>
          <w:bCs/>
          <w:color w:val="111111"/>
          <w:sz w:val="24"/>
          <w:szCs w:val="24"/>
        </w:rPr>
        <w:t xml:space="preserve">3. Leads by enlistment class</w:t>
      </w:r>
    </w:p>
    <w:p>
      <w:pPr>
        <w:keepNext/>
        <w:keepLines/>
        <w:spacing w:after="80" w:before="0" w:line="276"/>
        <w:ind w:left="360"/>
      </w:pPr>
      <w:r>
        <w:rPr>
          <w:rFonts w:ascii="Arial" w:cs="Arial" w:eastAsia="Arial" w:hAnsi="Arial"/>
          <w:b/>
          <w:bCs/>
          <w:color w:val="111111"/>
          <w:sz w:val="21"/>
          <w:szCs w:val="21"/>
        </w:rPr>
        <w:t xml:space="preserve">Where: </w:t>
      </w:r>
      <w:r>
        <w:rPr>
          <w:rFonts w:ascii="Arial" w:cs="Arial" w:eastAsia="Arial" w:hAnsi="Arial"/>
          <w:color w:val="111111"/>
          <w:sz w:val="21"/>
          <w:szCs w:val="21"/>
        </w:rPr>
        <w:t xml:space="preserve">Section 2, the “Public directory listing” box.</w:t>
      </w:r>
    </w:p>
    <w:p>
      <w:pPr>
        <w:keepNext/>
        <w:keepLines/>
        <w:spacing w:after="80" w:before="0" w:line="276"/>
        <w:ind w:left="360"/>
      </w:pPr>
      <w:r>
        <w:rPr>
          <w:rFonts w:ascii="Arial" w:cs="Arial" w:eastAsia="Arial" w:hAnsi="Arial"/>
          <w:b/>
          <w:bCs/>
          <w:color w:val="111111"/>
          <w:sz w:val="21"/>
          <w:szCs w:val="21"/>
        </w:rPr>
        <w:t xml:space="preserve">Your note: </w:t>
      </w:r>
      <w:r>
        <w:rPr>
          <w:rFonts w:ascii="Arial" w:cs="Arial" w:eastAsia="Arial" w:hAnsi="Arial"/>
          <w:i/>
          <w:iCs/>
          <w:color w:val="111111"/>
          <w:sz w:val="21"/>
          <w:szCs w:val="21"/>
        </w:rPr>
        <w:t xml:space="preserve">“It should go as a lead only to registered contractors according to their enlistment class.”</w:t>
      </w:r>
    </w:p>
    <w:p>
      <w:pPr>
        <w:keepNext/>
        <w:keepLines/>
        <w:spacing w:after="80" w:before="0" w:line="276"/>
        <w:ind w:left="360"/>
      </w:pPr>
      <w:r>
        <w:rPr>
          <w:rFonts w:ascii="Arial" w:cs="Arial" w:eastAsia="Arial" w:hAnsi="Arial"/>
          <w:b/>
          <w:bCs/>
          <w:color w:val="111111"/>
          <w:sz w:val="21"/>
          <w:szCs w:val="21"/>
        </w:rPr>
        <w:t xml:space="preserve">How we read it: </w:t>
      </w:r>
      <w:r>
        <w:rPr>
          <w:rFonts w:ascii="Arial" w:cs="Arial" w:eastAsia="Arial" w:hAnsi="Arial"/>
          <w:color w:val="111111"/>
          <w:sz w:val="21"/>
          <w:szCs w:val="21"/>
        </w:rPr>
        <w:t xml:space="preserve">When a homeowner presses Request Quote, the request goes as a lead only to registered contractors whose enlistment class fits the project.</w:t>
      </w:r>
    </w:p>
    <w:p>
      <w:pPr>
        <w:keepNext/>
        <w:keepLines/>
        <w:spacing w:after="80" w:before="0" w:line="276"/>
        <w:ind w:left="360"/>
      </w:pPr>
      <w:r>
        <w:rPr>
          <w:rFonts w:ascii="Arial" w:cs="Arial" w:eastAsia="Arial" w:hAnsi="Arial"/>
          <w:b/>
          <w:bCs/>
          <w:color w:val="111111"/>
          <w:sz w:val="21"/>
          <w:szCs w:val="21"/>
        </w:rPr>
        <w:t xml:space="preserve">Question: </w:t>
      </w:r>
      <w:r>
        <w:rPr>
          <w:rFonts w:ascii="Arial" w:cs="Arial" w:eastAsia="Arial" w:hAnsi="Arial"/>
          <w:color w:val="111111"/>
          <w:sz w:val="21"/>
          <w:szCs w:val="21"/>
        </w:rPr>
        <w:t xml:space="preserve">What sets a contractor’s enlistment class: a government enlistment (for example a PWD or CPWD class), or Plan2Build’s own classes by project value? Does the lead go to every contractor of that class in the area, or to a limited number?</w:t>
      </w:r>
    </w:p>
    <w:p>
      <w:pPr>
        <w:keepNext/>
        <w:keepLines/>
        <w:spacing w:after="0" w:before="60" w:line="276"/>
        <w:ind w:left="360"/>
      </w:pPr>
      <w:r>
        <w:rPr>
          <w:rFonts w:ascii="Arial" w:cs="Arial" w:eastAsia="Arial" w:hAnsi="Arial"/>
          <w:b/>
          <w:bCs/>
          <w:color w:val="111111"/>
          <w:sz w:val="21"/>
          <w:szCs w:val="21"/>
        </w:rPr>
        <w:t xml:space="preserve">Your answer:</w:t>
      </w:r>
    </w:p>
    <w:p>
      <w:pPr>
        <w:keepNext/>
        <w:keepLines/>
        <w:pBdr>
          <w:bottom w:val="single" w:color="9A9A9A" w:sz="4" w:space="1"/>
          <w:between w:val="single" w:color="9A9A9A" w:sz="4" w:space="1"/>
        </w:pBdr>
        <w:spacing w:after="0" w:before="0" w:line="276"/>
        <w:ind w:left="360"/>
      </w:pPr>
      <w:r>
        <w:rPr>
          <w:rFonts w:ascii="Arial" w:cs="Arial" w:eastAsia="Arial" w:hAnsi="Arial"/>
          <w:color w:val="111111"/>
          <w:sz w:val="21"/>
          <w:szCs w:val="21"/>
        </w:rPr>
        <w:t xml:space="preserve"> </w:t>
      </w:r>
    </w:p>
    <w:p>
      <w:pPr>
        <w:keepNext/>
        <w:keepLines/>
        <w:pBdr>
          <w:bottom w:val="single" w:color="9A9A9A" w:sz="4" w:space="1"/>
          <w:between w:val="single" w:color="9A9A9A" w:sz="4" w:space="1"/>
        </w:pBdr>
        <w:spacing w:after="0" w:before="160" w:line="276"/>
        <w:ind w:left="360"/>
      </w:pPr>
      <w:r>
        <w:rPr>
          <w:rFonts w:ascii="Arial" w:cs="Arial" w:eastAsia="Arial" w:hAnsi="Arial"/>
          <w:color w:val="111111"/>
          <w:sz w:val="21"/>
          <w:szCs w:val="21"/>
        </w:rPr>
        <w:t xml:space="preserve"> </w:t>
      </w:r>
    </w:p>
    <w:p>
      <w:pPr>
        <w:keepNext w:val="false"/>
        <w:keepLines/>
        <w:pBdr>
          <w:bottom w:val="single" w:color="9A9A9A" w:sz="4" w:space="1"/>
          <w:between w:val="single" w:color="9A9A9A" w:sz="4" w:space="1"/>
        </w:pBdr>
        <w:spacing w:after="280" w:before="160" w:line="276"/>
        <w:ind w:left="360"/>
      </w:pPr>
      <w:r>
        <w:rPr>
          <w:rFonts w:ascii="Arial" w:cs="Arial" w:eastAsia="Arial" w:hAnsi="Arial"/>
          <w:color w:val="111111"/>
          <w:sz w:val="21"/>
          <w:szCs w:val="21"/>
        </w:rPr>
        <w:t xml:space="preserve"> </w:t>
      </w:r>
    </w:p>
    <w:p>
      <w:pPr>
        <w:pStyle w:val="Heading2"/>
        <w:keepNext/>
        <w:keepLines/>
        <w:spacing w:after="100" w:before="120"/>
      </w:pPr>
      <w:r>
        <w:rPr>
          <w:rFonts w:ascii="Arial" w:cs="Arial" w:eastAsia="Arial" w:hAnsi="Arial"/>
          <w:b/>
          <w:bCs/>
          <w:color w:val="111111"/>
          <w:sz w:val="24"/>
          <w:szCs w:val="24"/>
        </w:rPr>
        <w:t xml:space="preserve">4. Standard format for milestone updates</w:t>
      </w:r>
    </w:p>
    <w:p>
      <w:pPr>
        <w:keepNext/>
        <w:keepLines/>
        <w:spacing w:after="80" w:before="0" w:line="276"/>
        <w:ind w:left="360"/>
      </w:pPr>
      <w:r>
        <w:rPr>
          <w:rFonts w:ascii="Arial" w:cs="Arial" w:eastAsia="Arial" w:hAnsi="Arial"/>
          <w:b/>
          <w:bCs/>
          <w:color w:val="111111"/>
          <w:sz w:val="21"/>
          <w:szCs w:val="21"/>
        </w:rPr>
        <w:t xml:space="preserve">Where: </w:t>
      </w:r>
      <w:r>
        <w:rPr>
          <w:rFonts w:ascii="Arial" w:cs="Arial" w:eastAsia="Arial" w:hAnsi="Arial"/>
          <w:color w:val="111111"/>
          <w:sz w:val="21"/>
          <w:szCs w:val="21"/>
        </w:rPr>
        <w:t xml:space="preserve">Section 2, step 13 (Deliver milestones with updates). Section 3, Contractor Path B, step B9.</w:t>
      </w:r>
    </w:p>
    <w:p>
      <w:pPr>
        <w:keepNext/>
        <w:keepLines/>
        <w:spacing w:after="80" w:before="0" w:line="276"/>
        <w:ind w:left="360"/>
      </w:pPr>
      <w:r>
        <w:rPr>
          <w:rFonts w:ascii="Arial" w:cs="Arial" w:eastAsia="Arial" w:hAnsi="Arial"/>
          <w:b/>
          <w:bCs/>
          <w:color w:val="111111"/>
          <w:sz w:val="21"/>
          <w:szCs w:val="21"/>
        </w:rPr>
        <w:t xml:space="preserve">Your note: </w:t>
      </w:r>
      <w:r>
        <w:rPr>
          <w:rFonts w:ascii="Arial" w:cs="Arial" w:eastAsia="Arial" w:hAnsi="Arial"/>
          <w:i/>
          <w:iCs/>
          <w:color w:val="111111"/>
          <w:sz w:val="21"/>
          <w:szCs w:val="21"/>
        </w:rPr>
        <w:t xml:space="preserve">“Format standardisation” and “Standardised format”.</w:t>
      </w:r>
    </w:p>
    <w:p>
      <w:pPr>
        <w:keepNext/>
        <w:keepLines/>
        <w:spacing w:after="80" w:before="0" w:line="276"/>
        <w:ind w:left="360"/>
      </w:pPr>
      <w:r>
        <w:rPr>
          <w:rFonts w:ascii="Arial" w:cs="Arial" w:eastAsia="Arial" w:hAnsi="Arial"/>
          <w:b/>
          <w:bCs/>
          <w:color w:val="111111"/>
          <w:sz w:val="21"/>
          <w:szCs w:val="21"/>
        </w:rPr>
        <w:t xml:space="preserve">How we read it: </w:t>
      </w:r>
      <w:r>
        <w:rPr>
          <w:rFonts w:ascii="Arial" w:cs="Arial" w:eastAsia="Arial" w:hAnsi="Arial"/>
          <w:color w:val="111111"/>
          <w:sz w:val="21"/>
          <w:szCs w:val="21"/>
        </w:rPr>
        <w:t xml:space="preserve">Every milestone update follows one standard format set by Plan2Build.</w:t>
      </w:r>
    </w:p>
    <w:p>
      <w:pPr>
        <w:keepNext/>
        <w:keepLines/>
        <w:spacing w:after="80" w:before="0" w:line="276"/>
        <w:ind w:left="360"/>
      </w:pPr>
      <w:r>
        <w:rPr>
          <w:rFonts w:ascii="Arial" w:cs="Arial" w:eastAsia="Arial" w:hAnsi="Arial"/>
          <w:b/>
          <w:bCs/>
          <w:color w:val="111111"/>
          <w:sz w:val="21"/>
          <w:szCs w:val="21"/>
        </w:rPr>
        <w:t xml:space="preserve">Question: </w:t>
      </w:r>
      <w:r>
        <w:rPr>
          <w:rFonts w:ascii="Arial" w:cs="Arial" w:eastAsia="Arial" w:hAnsi="Arial"/>
          <w:color w:val="111111"/>
          <w:sz w:val="21"/>
          <w:szCs w:val="21"/>
        </w:rPr>
        <w:t xml:space="preserve">What should the format include (for example stage, date, photos, progress against plan, materials used, open issues)? One format for all professionals, or one per trade?</w:t>
      </w:r>
    </w:p>
    <w:p>
      <w:pPr>
        <w:keepNext/>
        <w:keepLines/>
        <w:spacing w:after="0" w:before="60" w:line="276"/>
        <w:ind w:left="360"/>
      </w:pPr>
      <w:r>
        <w:rPr>
          <w:rFonts w:ascii="Arial" w:cs="Arial" w:eastAsia="Arial" w:hAnsi="Arial"/>
          <w:b/>
          <w:bCs/>
          <w:color w:val="111111"/>
          <w:sz w:val="21"/>
          <w:szCs w:val="21"/>
        </w:rPr>
        <w:t xml:space="preserve">Your answer:</w:t>
      </w:r>
    </w:p>
    <w:p>
      <w:pPr>
        <w:keepNext/>
        <w:keepLines/>
        <w:pBdr>
          <w:bottom w:val="single" w:color="9A9A9A" w:sz="4" w:space="1"/>
          <w:between w:val="single" w:color="9A9A9A" w:sz="4" w:space="1"/>
        </w:pBdr>
        <w:spacing w:after="0" w:before="0" w:line="276"/>
        <w:ind w:left="360"/>
      </w:pPr>
      <w:r>
        <w:rPr>
          <w:rFonts w:ascii="Arial" w:cs="Arial" w:eastAsia="Arial" w:hAnsi="Arial"/>
          <w:color w:val="111111"/>
          <w:sz w:val="21"/>
          <w:szCs w:val="21"/>
        </w:rPr>
        <w:t xml:space="preserve"> </w:t>
      </w:r>
    </w:p>
    <w:p>
      <w:pPr>
        <w:keepNext/>
        <w:keepLines/>
        <w:pBdr>
          <w:bottom w:val="single" w:color="9A9A9A" w:sz="4" w:space="1"/>
          <w:between w:val="single" w:color="9A9A9A" w:sz="4" w:space="1"/>
        </w:pBdr>
        <w:spacing w:after="0" w:before="160" w:line="276"/>
        <w:ind w:left="360"/>
      </w:pPr>
      <w:r>
        <w:rPr>
          <w:rFonts w:ascii="Arial" w:cs="Arial" w:eastAsia="Arial" w:hAnsi="Arial"/>
          <w:color w:val="111111"/>
          <w:sz w:val="21"/>
          <w:szCs w:val="21"/>
        </w:rPr>
        <w:t xml:space="preserve"> </w:t>
      </w:r>
    </w:p>
    <w:p>
      <w:pPr>
        <w:keepNext w:val="false"/>
        <w:keepLines/>
        <w:pBdr>
          <w:bottom w:val="single" w:color="9A9A9A" w:sz="4" w:space="1"/>
          <w:between w:val="single" w:color="9A9A9A" w:sz="4" w:space="1"/>
        </w:pBdr>
        <w:spacing w:after="280" w:before="160" w:line="276"/>
        <w:ind w:left="360"/>
      </w:pPr>
      <w:r>
        <w:rPr>
          <w:rFonts w:ascii="Arial" w:cs="Arial" w:eastAsia="Arial" w:hAnsi="Arial"/>
          <w:color w:val="111111"/>
          <w:sz w:val="21"/>
          <w:szCs w:val="21"/>
        </w:rPr>
        <w:t xml:space="preserve"> </w:t>
      </w:r>
    </w:p>
    <w:p>
      <w:pPr>
        <w:pStyle w:val="Heading2"/>
        <w:keepNext/>
        <w:keepLines/>
        <w:spacing w:after="100" w:before="120"/>
      </w:pPr>
      <w:r>
        <w:rPr>
          <w:rFonts w:ascii="Arial" w:cs="Arial" w:eastAsia="Arial" w:hAnsi="Arial"/>
          <w:b/>
          <w:bCs/>
          <w:color w:val="111111"/>
          <w:sz w:val="24"/>
          <w:szCs w:val="24"/>
        </w:rPr>
        <w:t xml:space="preserve">5. Plan2Build’s role with architects</w:t>
      </w:r>
    </w:p>
    <w:p>
      <w:pPr>
        <w:keepNext/>
        <w:keepLines/>
        <w:spacing w:after="80" w:before="0" w:line="276"/>
        <w:ind w:left="360"/>
      </w:pPr>
      <w:r>
        <w:rPr>
          <w:rFonts w:ascii="Arial" w:cs="Arial" w:eastAsia="Arial" w:hAnsi="Arial"/>
          <w:b/>
          <w:bCs/>
          <w:color w:val="111111"/>
          <w:sz w:val="21"/>
          <w:szCs w:val="21"/>
        </w:rPr>
        <w:t xml:space="preserve">Where: </w:t>
      </w:r>
      <w:r>
        <w:rPr>
          <w:rFonts w:ascii="Arial" w:cs="Arial" w:eastAsia="Arial" w:hAnsi="Arial"/>
          <w:color w:val="111111"/>
          <w:sz w:val="21"/>
          <w:szCs w:val="21"/>
        </w:rPr>
        <w:t xml:space="preserve">Section 3, Architect, step 7 (Compared and selected).</w:t>
      </w:r>
    </w:p>
    <w:p>
      <w:pPr>
        <w:keepNext/>
        <w:keepLines/>
        <w:spacing w:after="80" w:before="0" w:line="276"/>
        <w:ind w:left="360"/>
      </w:pPr>
      <w:r>
        <w:rPr>
          <w:rFonts w:ascii="Arial" w:cs="Arial" w:eastAsia="Arial" w:hAnsi="Arial"/>
          <w:b/>
          <w:bCs/>
          <w:color w:val="111111"/>
          <w:sz w:val="21"/>
          <w:szCs w:val="21"/>
        </w:rPr>
        <w:t xml:space="preserve">Your note: </w:t>
      </w:r>
      <w:r>
        <w:rPr>
          <w:rFonts w:ascii="Arial" w:cs="Arial" w:eastAsia="Arial" w:hAnsi="Arial"/>
          <w:i/>
          <w:iCs/>
          <w:color w:val="111111"/>
          <w:sz w:val="21"/>
          <w:szCs w:val="21"/>
        </w:rPr>
        <w:t xml:space="preserve">“P2B intervention same as contractor.”</w:t>
      </w:r>
    </w:p>
    <w:p>
      <w:pPr>
        <w:keepNext/>
        <w:keepLines/>
        <w:spacing w:after="80" w:before="0" w:line="276"/>
        <w:ind w:left="360"/>
      </w:pPr>
      <w:r>
        <w:rPr>
          <w:rFonts w:ascii="Arial" w:cs="Arial" w:eastAsia="Arial" w:hAnsi="Arial"/>
          <w:b/>
          <w:bCs/>
          <w:color w:val="111111"/>
          <w:sz w:val="21"/>
          <w:szCs w:val="21"/>
        </w:rPr>
        <w:t xml:space="preserve">How we read it: </w:t>
      </w:r>
      <w:r>
        <w:rPr>
          <w:rFonts w:ascii="Arial" w:cs="Arial" w:eastAsia="Arial" w:hAnsi="Arial"/>
          <w:color w:val="111111"/>
          <w:sz w:val="21"/>
          <w:szCs w:val="21"/>
        </w:rPr>
        <w:t xml:space="preserve">Plan2Build reviews and comments on architects’ quotes and compares them on equal scope, as it does for contractors.</w:t>
      </w:r>
    </w:p>
    <w:p>
      <w:pPr>
        <w:keepNext/>
        <w:keepLines/>
        <w:spacing w:after="80" w:before="0" w:line="276"/>
        <w:ind w:left="360"/>
      </w:pPr>
      <w:r>
        <w:rPr>
          <w:rFonts w:ascii="Arial" w:cs="Arial" w:eastAsia="Arial" w:hAnsi="Arial"/>
          <w:b/>
          <w:bCs/>
          <w:color w:val="111111"/>
          <w:sz w:val="21"/>
          <w:szCs w:val="21"/>
        </w:rPr>
        <w:t xml:space="preserve">Question: </w:t>
      </w:r>
      <w:r>
        <w:rPr>
          <w:rFonts w:ascii="Arial" w:cs="Arial" w:eastAsia="Arial" w:hAnsi="Arial"/>
          <w:color w:val="111111"/>
          <w:sz w:val="21"/>
          <w:szCs w:val="21"/>
        </w:rPr>
        <w:t xml:space="preserve">Is that right? Should architects also receive a standard quote request, and will Plan2Build keep a list of architects for the POC, as it will for contractors?</w:t>
      </w:r>
    </w:p>
    <w:p>
      <w:pPr>
        <w:keepNext/>
        <w:keepLines/>
        <w:spacing w:after="0" w:before="60" w:line="276"/>
        <w:ind w:left="360"/>
      </w:pPr>
      <w:r>
        <w:rPr>
          <w:rFonts w:ascii="Arial" w:cs="Arial" w:eastAsia="Arial" w:hAnsi="Arial"/>
          <w:b/>
          <w:bCs/>
          <w:color w:val="111111"/>
          <w:sz w:val="21"/>
          <w:szCs w:val="21"/>
        </w:rPr>
        <w:t xml:space="preserve">Your answer:</w:t>
      </w:r>
    </w:p>
    <w:p>
      <w:pPr>
        <w:keepNext/>
        <w:keepLines/>
        <w:pBdr>
          <w:bottom w:val="single" w:color="9A9A9A" w:sz="4" w:space="1"/>
          <w:between w:val="single" w:color="9A9A9A" w:sz="4" w:space="1"/>
        </w:pBdr>
        <w:spacing w:after="0" w:before="0" w:line="276"/>
        <w:ind w:left="360"/>
      </w:pPr>
      <w:r>
        <w:rPr>
          <w:rFonts w:ascii="Arial" w:cs="Arial" w:eastAsia="Arial" w:hAnsi="Arial"/>
          <w:color w:val="111111"/>
          <w:sz w:val="21"/>
          <w:szCs w:val="21"/>
        </w:rPr>
        <w:t xml:space="preserve"> </w:t>
      </w:r>
    </w:p>
    <w:p>
      <w:pPr>
        <w:keepNext/>
        <w:keepLines/>
        <w:pBdr>
          <w:bottom w:val="single" w:color="9A9A9A" w:sz="4" w:space="1"/>
          <w:between w:val="single" w:color="9A9A9A" w:sz="4" w:space="1"/>
        </w:pBdr>
        <w:spacing w:after="0" w:before="160" w:line="276"/>
        <w:ind w:left="360"/>
      </w:pPr>
      <w:r>
        <w:rPr>
          <w:rFonts w:ascii="Arial" w:cs="Arial" w:eastAsia="Arial" w:hAnsi="Arial"/>
          <w:color w:val="111111"/>
          <w:sz w:val="21"/>
          <w:szCs w:val="21"/>
        </w:rPr>
        <w:t xml:space="preserve"> </w:t>
      </w:r>
    </w:p>
    <w:p>
      <w:pPr>
        <w:keepNext w:val="false"/>
        <w:keepLines/>
        <w:pBdr>
          <w:bottom w:val="single" w:color="9A9A9A" w:sz="4" w:space="1"/>
          <w:between w:val="single" w:color="9A9A9A" w:sz="4" w:space="1"/>
        </w:pBdr>
        <w:spacing w:after="280" w:before="160" w:line="276"/>
        <w:ind w:left="360"/>
      </w:pPr>
      <w:r>
        <w:rPr>
          <w:rFonts w:ascii="Arial" w:cs="Arial" w:eastAsia="Arial" w:hAnsi="Arial"/>
          <w:color w:val="111111"/>
          <w:sz w:val="21"/>
          <w:szCs w:val="21"/>
        </w:rPr>
        <w:t xml:space="preserve"> </w:t>
      </w:r>
    </w:p>
    <w:p>
      <w:pPr>
        <w:pStyle w:val="Heading2"/>
        <w:keepNext/>
        <w:keepLines/>
        <w:spacing w:after="100" w:before="120"/>
      </w:pPr>
      <w:r>
        <w:rPr>
          <w:rFonts w:ascii="Arial" w:cs="Arial" w:eastAsia="Arial" w:hAnsi="Arial"/>
          <w:b/>
          <w:bCs/>
          <w:color w:val="111111"/>
          <w:sz w:val="24"/>
          <w:szCs w:val="24"/>
        </w:rPr>
        <w:t xml:space="preserve">6. Who prepares the drawings</w:t>
      </w:r>
    </w:p>
    <w:p>
      <w:pPr>
        <w:keepNext/>
        <w:keepLines/>
        <w:spacing w:after="80" w:before="0" w:line="276"/>
        <w:ind w:left="360"/>
      </w:pPr>
      <w:r>
        <w:rPr>
          <w:rFonts w:ascii="Arial" w:cs="Arial" w:eastAsia="Arial" w:hAnsi="Arial"/>
          <w:b/>
          <w:bCs/>
          <w:color w:val="111111"/>
          <w:sz w:val="21"/>
          <w:szCs w:val="21"/>
        </w:rPr>
        <w:t xml:space="preserve">Where: </w:t>
      </w:r>
      <w:r>
        <w:rPr>
          <w:rFonts w:ascii="Arial" w:cs="Arial" w:eastAsia="Arial" w:hAnsi="Arial"/>
          <w:color w:val="111111"/>
          <w:sz w:val="21"/>
          <w:szCs w:val="21"/>
        </w:rPr>
        <w:t xml:space="preserve">Section 3, Architect, step 11 (Final design pack). Section 1, step 10 (Build Plan issued).</w:t>
      </w:r>
    </w:p>
    <w:p>
      <w:pPr>
        <w:keepNext/>
        <w:keepLines/>
        <w:spacing w:after="80" w:before="0" w:line="276"/>
        <w:ind w:left="360"/>
      </w:pPr>
      <w:r>
        <w:rPr>
          <w:rFonts w:ascii="Arial" w:cs="Arial" w:eastAsia="Arial" w:hAnsi="Arial"/>
          <w:b/>
          <w:bCs/>
          <w:color w:val="111111"/>
          <w:sz w:val="21"/>
          <w:szCs w:val="21"/>
        </w:rPr>
        <w:t xml:space="preserve">Your note: </w:t>
      </w:r>
      <w:r>
        <w:rPr>
          <w:rFonts w:ascii="Arial" w:cs="Arial" w:eastAsia="Arial" w:hAnsi="Arial"/>
          <w:i/>
          <w:iCs/>
          <w:color w:val="111111"/>
          <w:sz w:val="21"/>
          <w:szCs w:val="21"/>
        </w:rPr>
        <w:t xml:space="preserve">“Can be part of RFQ package.” (step 11) and “Yes” to design drawings and 3D views in the Build Plan (step 10).</w:t>
      </w:r>
    </w:p>
    <w:p>
      <w:pPr>
        <w:keepNext/>
        <w:keepLines/>
        <w:spacing w:after="80" w:before="0" w:line="276"/>
        <w:ind w:left="360"/>
      </w:pPr>
      <w:r>
        <w:rPr>
          <w:rFonts w:ascii="Arial" w:cs="Arial" w:eastAsia="Arial" w:hAnsi="Arial"/>
          <w:b/>
          <w:bCs/>
          <w:color w:val="111111"/>
          <w:sz w:val="21"/>
          <w:szCs w:val="21"/>
        </w:rPr>
        <w:t xml:space="preserve">How we read it: </w:t>
      </w:r>
      <w:r>
        <w:rPr>
          <w:rFonts w:ascii="Arial" w:cs="Arial" w:eastAsia="Arial" w:hAnsi="Arial"/>
          <w:color w:val="111111"/>
          <w:sz w:val="21"/>
          <w:szCs w:val="21"/>
        </w:rPr>
        <w:t xml:space="preserve">The architect’s final drawings go into the standard quote request pack that contractors price.</w:t>
      </w:r>
    </w:p>
    <w:p>
      <w:pPr>
        <w:keepNext/>
        <w:keepLines/>
        <w:spacing w:after="80" w:before="0" w:line="276"/>
        <w:ind w:left="360"/>
      </w:pPr>
      <w:r>
        <w:rPr>
          <w:rFonts w:ascii="Arial" w:cs="Arial" w:eastAsia="Arial" w:hAnsi="Arial"/>
          <w:b/>
          <w:bCs/>
          <w:color w:val="111111"/>
          <w:sz w:val="21"/>
          <w:szCs w:val="21"/>
        </w:rPr>
        <w:t xml:space="preserve">Question: </w:t>
      </w:r>
      <w:r>
        <w:rPr>
          <w:rFonts w:ascii="Arial" w:cs="Arial" w:eastAsia="Arial" w:hAnsi="Arial"/>
          <w:color w:val="111111"/>
          <w:sz w:val="21"/>
          <w:szCs w:val="21"/>
        </w:rPr>
        <w:t xml:space="preserve">At MVP, who prepares the design drawings and 3D views: Plan2Build as part of the Build Plan, the homeowner’s own architect, or an architect from Plan2Build’s list?</w:t>
      </w:r>
    </w:p>
    <w:p>
      <w:pPr>
        <w:keepNext/>
        <w:keepLines/>
        <w:spacing w:after="0" w:before="60" w:line="276"/>
        <w:ind w:left="360"/>
      </w:pPr>
      <w:r>
        <w:rPr>
          <w:rFonts w:ascii="Arial" w:cs="Arial" w:eastAsia="Arial" w:hAnsi="Arial"/>
          <w:b/>
          <w:bCs/>
          <w:color w:val="111111"/>
          <w:sz w:val="21"/>
          <w:szCs w:val="21"/>
        </w:rPr>
        <w:t xml:space="preserve">Your answer:</w:t>
      </w:r>
    </w:p>
    <w:p>
      <w:pPr>
        <w:keepNext/>
        <w:keepLines/>
        <w:pBdr>
          <w:bottom w:val="single" w:color="9A9A9A" w:sz="4" w:space="1"/>
          <w:between w:val="single" w:color="9A9A9A" w:sz="4" w:space="1"/>
        </w:pBdr>
        <w:spacing w:after="0" w:before="0" w:line="276"/>
        <w:ind w:left="360"/>
      </w:pPr>
      <w:r>
        <w:rPr>
          <w:rFonts w:ascii="Arial" w:cs="Arial" w:eastAsia="Arial" w:hAnsi="Arial"/>
          <w:color w:val="111111"/>
          <w:sz w:val="21"/>
          <w:szCs w:val="21"/>
        </w:rPr>
        <w:t xml:space="preserve"> </w:t>
      </w:r>
    </w:p>
    <w:p>
      <w:pPr>
        <w:keepNext/>
        <w:keepLines/>
        <w:pBdr>
          <w:bottom w:val="single" w:color="9A9A9A" w:sz="4" w:space="1"/>
          <w:between w:val="single" w:color="9A9A9A" w:sz="4" w:space="1"/>
        </w:pBdr>
        <w:spacing w:after="0" w:before="160" w:line="276"/>
        <w:ind w:left="360"/>
      </w:pPr>
      <w:r>
        <w:rPr>
          <w:rFonts w:ascii="Arial" w:cs="Arial" w:eastAsia="Arial" w:hAnsi="Arial"/>
          <w:color w:val="111111"/>
          <w:sz w:val="21"/>
          <w:szCs w:val="21"/>
        </w:rPr>
        <w:t xml:space="preserve"> </w:t>
      </w:r>
    </w:p>
    <w:p>
      <w:pPr>
        <w:keepNext w:val="false"/>
        <w:keepLines/>
        <w:pBdr>
          <w:bottom w:val="single" w:color="9A9A9A" w:sz="4" w:space="1"/>
          <w:between w:val="single" w:color="9A9A9A" w:sz="4" w:space="1"/>
        </w:pBdr>
        <w:spacing w:after="280" w:before="160" w:line="276"/>
        <w:ind w:left="360"/>
      </w:pPr>
      <w:r>
        <w:rPr>
          <w:rFonts w:ascii="Arial" w:cs="Arial" w:eastAsia="Arial" w:hAnsi="Arial"/>
          <w:color w:val="111111"/>
          <w:sz w:val="21"/>
          <w:szCs w:val="21"/>
        </w:rPr>
        <w:t xml:space="preserve"> </w:t>
      </w:r>
    </w:p>
    <w:p>
      <w:pPr>
        <w:pStyle w:val="Heading2"/>
        <w:keepNext/>
        <w:keepLines/>
        <w:spacing w:after="100" w:before="120"/>
      </w:pPr>
      <w:r>
        <w:rPr>
          <w:rFonts w:ascii="Arial" w:cs="Arial" w:eastAsia="Arial" w:hAnsi="Arial"/>
          <w:b/>
          <w:bCs/>
          <w:color w:val="111111"/>
          <w:sz w:val="24"/>
          <w:szCs w:val="24"/>
        </w:rPr>
        <w:t xml:space="preserve">7. Auditor ID</w:t>
      </w:r>
    </w:p>
    <w:p>
      <w:pPr>
        <w:keepNext/>
        <w:keepLines/>
        <w:spacing w:after="80" w:before="0" w:line="276"/>
        <w:ind w:left="360"/>
      </w:pPr>
      <w:r>
        <w:rPr>
          <w:rFonts w:ascii="Arial" w:cs="Arial" w:eastAsia="Arial" w:hAnsi="Arial"/>
          <w:b/>
          <w:bCs/>
          <w:color w:val="111111"/>
          <w:sz w:val="21"/>
          <w:szCs w:val="21"/>
        </w:rPr>
        <w:t xml:space="preserve">Where: </w:t>
      </w:r>
      <w:r>
        <w:rPr>
          <w:rFonts w:ascii="Arial" w:cs="Arial" w:eastAsia="Arial" w:hAnsi="Arial"/>
          <w:color w:val="111111"/>
          <w:sz w:val="21"/>
          <w:szCs w:val="21"/>
        </w:rPr>
        <w:t xml:space="preserve">Section 3, Auditor / Inspector, step 1 (Assigned to an inspection).</w:t>
      </w:r>
    </w:p>
    <w:p>
      <w:pPr>
        <w:keepNext/>
        <w:keepLines/>
        <w:spacing w:after="80" w:before="0" w:line="276"/>
        <w:ind w:left="360"/>
      </w:pPr>
      <w:r>
        <w:rPr>
          <w:rFonts w:ascii="Arial" w:cs="Arial" w:eastAsia="Arial" w:hAnsi="Arial"/>
          <w:b/>
          <w:bCs/>
          <w:color w:val="111111"/>
          <w:sz w:val="21"/>
          <w:szCs w:val="21"/>
        </w:rPr>
        <w:t xml:space="preserve">Your note: </w:t>
      </w:r>
      <w:r>
        <w:rPr>
          <w:rFonts w:ascii="Arial" w:cs="Arial" w:eastAsia="Arial" w:hAnsi="Arial"/>
          <w:i/>
          <w:iCs/>
          <w:color w:val="111111"/>
          <w:sz w:val="21"/>
          <w:szCs w:val="21"/>
        </w:rPr>
        <w:t xml:space="preserve">“Unique ID of the auditor (entity).”</w:t>
      </w:r>
    </w:p>
    <w:p>
      <w:pPr>
        <w:keepNext/>
        <w:keepLines/>
        <w:spacing w:after="80" w:before="0" w:line="276"/>
        <w:ind w:left="360"/>
      </w:pPr>
      <w:r>
        <w:rPr>
          <w:rFonts w:ascii="Arial" w:cs="Arial" w:eastAsia="Arial" w:hAnsi="Arial"/>
          <w:b/>
          <w:bCs/>
          <w:color w:val="111111"/>
          <w:sz w:val="21"/>
          <w:szCs w:val="21"/>
        </w:rPr>
        <w:t xml:space="preserve">How we read it: </w:t>
      </w:r>
      <w:r>
        <w:rPr>
          <w:rFonts w:ascii="Arial" w:cs="Arial" w:eastAsia="Arial" w:hAnsi="Arial"/>
          <w:color w:val="111111"/>
          <w:sz w:val="21"/>
          <w:szCs w:val="21"/>
        </w:rPr>
        <w:t xml:space="preserve">Each auditor is registered with a unique ID, which appears on assignments, inspection reports and the build record.</w:t>
      </w:r>
    </w:p>
    <w:p>
      <w:pPr>
        <w:keepNext/>
        <w:keepLines/>
        <w:spacing w:after="80" w:before="0" w:line="276"/>
        <w:ind w:left="360"/>
      </w:pPr>
      <w:r>
        <w:rPr>
          <w:rFonts w:ascii="Arial" w:cs="Arial" w:eastAsia="Arial" w:hAnsi="Arial"/>
          <w:b/>
          <w:bCs/>
          <w:color w:val="111111"/>
          <w:sz w:val="21"/>
          <w:szCs w:val="21"/>
        </w:rPr>
        <w:t xml:space="preserve">Question: </w:t>
      </w:r>
      <w:r>
        <w:rPr>
          <w:rFonts w:ascii="Arial" w:cs="Arial" w:eastAsia="Arial" w:hAnsi="Arial"/>
          <w:color w:val="111111"/>
          <w:sz w:val="21"/>
          <w:szCs w:val="21"/>
        </w:rPr>
        <w:t xml:space="preserve">Is the auditor registered as an individual engineer or as a firm? Where should the ID appear?</w:t>
      </w:r>
    </w:p>
    <w:p>
      <w:pPr>
        <w:keepNext/>
        <w:keepLines/>
        <w:spacing w:after="0" w:before="60" w:line="276"/>
        <w:ind w:left="360"/>
      </w:pPr>
      <w:r>
        <w:rPr>
          <w:rFonts w:ascii="Arial" w:cs="Arial" w:eastAsia="Arial" w:hAnsi="Arial"/>
          <w:b/>
          <w:bCs/>
          <w:color w:val="111111"/>
          <w:sz w:val="21"/>
          <w:szCs w:val="21"/>
        </w:rPr>
        <w:t xml:space="preserve">Your answer:</w:t>
      </w:r>
    </w:p>
    <w:p>
      <w:pPr>
        <w:keepNext/>
        <w:keepLines/>
        <w:pBdr>
          <w:bottom w:val="single" w:color="9A9A9A" w:sz="4" w:space="1"/>
          <w:between w:val="single" w:color="9A9A9A" w:sz="4" w:space="1"/>
        </w:pBdr>
        <w:spacing w:after="0" w:before="0" w:line="276"/>
        <w:ind w:left="360"/>
      </w:pPr>
      <w:r>
        <w:rPr>
          <w:rFonts w:ascii="Arial" w:cs="Arial" w:eastAsia="Arial" w:hAnsi="Arial"/>
          <w:color w:val="111111"/>
          <w:sz w:val="21"/>
          <w:szCs w:val="21"/>
        </w:rPr>
        <w:t xml:space="preserve"> </w:t>
      </w:r>
    </w:p>
    <w:p>
      <w:pPr>
        <w:keepNext/>
        <w:keepLines/>
        <w:pBdr>
          <w:bottom w:val="single" w:color="9A9A9A" w:sz="4" w:space="1"/>
          <w:between w:val="single" w:color="9A9A9A" w:sz="4" w:space="1"/>
        </w:pBdr>
        <w:spacing w:after="0" w:before="160" w:line="276"/>
        <w:ind w:left="360"/>
      </w:pPr>
      <w:r>
        <w:rPr>
          <w:rFonts w:ascii="Arial" w:cs="Arial" w:eastAsia="Arial" w:hAnsi="Arial"/>
          <w:color w:val="111111"/>
          <w:sz w:val="21"/>
          <w:szCs w:val="21"/>
        </w:rPr>
        <w:t xml:space="preserve"> </w:t>
      </w:r>
    </w:p>
    <w:p>
      <w:pPr>
        <w:keepNext w:val="false"/>
        <w:keepLines/>
        <w:pBdr>
          <w:bottom w:val="single" w:color="9A9A9A" w:sz="4" w:space="1"/>
          <w:between w:val="single" w:color="9A9A9A" w:sz="4" w:space="1"/>
        </w:pBdr>
        <w:spacing w:after="280" w:before="160" w:line="276"/>
        <w:ind w:left="360"/>
      </w:pPr>
      <w:r>
        <w:rPr>
          <w:rFonts w:ascii="Arial" w:cs="Arial" w:eastAsia="Arial" w:hAnsi="Arial"/>
          <w:color w:val="111111"/>
          <w:sz w:val="21"/>
          <w:szCs w:val="21"/>
        </w:rPr>
        <w:t xml:space="preserve"> </w:t>
      </w:r>
    </w:p>
    <w:p>
      <w:pPr>
        <w:pStyle w:val="Heading2"/>
        <w:keepNext/>
        <w:keepLines/>
        <w:spacing w:after="100" w:before="120"/>
      </w:pPr>
      <w:r>
        <w:rPr>
          <w:rFonts w:ascii="Arial" w:cs="Arial" w:eastAsia="Arial" w:hAnsi="Arial"/>
          <w:b/>
          <w:bCs/>
          <w:color w:val="111111"/>
          <w:sz w:val="24"/>
          <w:szCs w:val="24"/>
        </w:rPr>
        <w:t xml:space="preserve">8. Materials at MVP</w:t>
      </w:r>
    </w:p>
    <w:p>
      <w:pPr>
        <w:keepNext/>
        <w:keepLines/>
        <w:spacing w:after="80" w:before="0" w:line="276"/>
        <w:ind w:left="360"/>
      </w:pPr>
      <w:r>
        <w:rPr>
          <w:rFonts w:ascii="Arial" w:cs="Arial" w:eastAsia="Arial" w:hAnsi="Arial"/>
          <w:b/>
          <w:bCs/>
          <w:color w:val="111111"/>
          <w:sz w:val="21"/>
          <w:szCs w:val="21"/>
        </w:rPr>
        <w:t xml:space="preserve">Where: </w:t>
      </w:r>
      <w:r>
        <w:rPr>
          <w:rFonts w:ascii="Arial" w:cs="Arial" w:eastAsia="Arial" w:hAnsi="Arial"/>
          <w:color w:val="111111"/>
          <w:sz w:val="21"/>
          <w:szCs w:val="21"/>
        </w:rPr>
        <w:t xml:space="preserve">Section 3, Supplier / Material Provider.</w:t>
      </w:r>
    </w:p>
    <w:p>
      <w:pPr>
        <w:keepNext/>
        <w:keepLines/>
        <w:spacing w:after="80" w:before="0" w:line="276"/>
        <w:ind w:left="360"/>
      </w:pPr>
      <w:r>
        <w:rPr>
          <w:rFonts w:ascii="Arial" w:cs="Arial" w:eastAsia="Arial" w:hAnsi="Arial"/>
          <w:b/>
          <w:bCs/>
          <w:color w:val="111111"/>
          <w:sz w:val="21"/>
          <w:szCs w:val="21"/>
        </w:rPr>
        <w:t xml:space="preserve">Your note: </w:t>
      </w:r>
      <w:r>
        <w:rPr>
          <w:rFonts w:ascii="Arial" w:cs="Arial" w:eastAsia="Arial" w:hAnsi="Arial"/>
          <w:i/>
          <w:iCs/>
          <w:color w:val="111111"/>
          <w:sz w:val="21"/>
          <w:szCs w:val="21"/>
        </w:rPr>
        <w:t xml:space="preserve">“For MVP, let us keep material supply scope out. Only verification &amp; certification.”</w:t>
      </w:r>
    </w:p>
    <w:p>
      <w:pPr>
        <w:keepNext/>
        <w:keepLines/>
        <w:spacing w:after="80" w:before="0" w:line="276"/>
        <w:ind w:left="360"/>
      </w:pPr>
      <w:r>
        <w:rPr>
          <w:rFonts w:ascii="Arial" w:cs="Arial" w:eastAsia="Arial" w:hAnsi="Arial"/>
          <w:b/>
          <w:bCs/>
          <w:color w:val="111111"/>
          <w:sz w:val="21"/>
          <w:szCs w:val="21"/>
        </w:rPr>
        <w:t xml:space="preserve">How we read it: </w:t>
      </w:r>
      <w:r>
        <w:rPr>
          <w:rFonts w:ascii="Arial" w:cs="Arial" w:eastAsia="Arial" w:hAnsi="Arial"/>
          <w:color w:val="111111"/>
          <w:sz w:val="21"/>
          <w:szCs w:val="21"/>
        </w:rPr>
        <w:t xml:space="preserve">At MVP, Plan2Build does not sell or supply materials. It only verifies that the material used matches what was chosen.</w:t>
      </w:r>
    </w:p>
    <w:p>
      <w:pPr>
        <w:keepNext/>
        <w:keepLines/>
        <w:spacing w:after="80" w:before="0" w:line="276"/>
        <w:ind w:left="360"/>
      </w:pPr>
      <w:r>
        <w:rPr>
          <w:rFonts w:ascii="Arial" w:cs="Arial" w:eastAsia="Arial" w:hAnsi="Arial"/>
          <w:b/>
          <w:bCs/>
          <w:color w:val="111111"/>
          <w:sz w:val="21"/>
          <w:szCs w:val="21"/>
        </w:rPr>
        <w:t xml:space="preserve">Question: </w:t>
      </w:r>
      <w:r>
        <w:rPr>
          <w:rFonts w:ascii="Arial" w:cs="Arial" w:eastAsia="Arial" w:hAnsi="Arial"/>
          <w:color w:val="111111"/>
          <w:sz w:val="21"/>
          <w:szCs w:val="21"/>
        </w:rPr>
        <w:t xml:space="preserve">What does “certification” cover: Plan2Build issuing a certificate for verified materials (for example in the build record), or checking the supplier’s own test certificates? Should the website’s materials category and “Material Supply” request also be removed for MVP?</w:t>
      </w:r>
    </w:p>
    <w:p>
      <w:pPr>
        <w:keepNext/>
        <w:keepLines/>
        <w:spacing w:after="0" w:before="60" w:line="276"/>
        <w:ind w:left="360"/>
      </w:pPr>
      <w:r>
        <w:rPr>
          <w:rFonts w:ascii="Arial" w:cs="Arial" w:eastAsia="Arial" w:hAnsi="Arial"/>
          <w:b/>
          <w:bCs/>
          <w:color w:val="111111"/>
          <w:sz w:val="21"/>
          <w:szCs w:val="21"/>
        </w:rPr>
        <w:t xml:space="preserve">Your answer:</w:t>
      </w:r>
    </w:p>
    <w:p>
      <w:pPr>
        <w:keepNext/>
        <w:keepLines/>
        <w:pBdr>
          <w:bottom w:val="single" w:color="9A9A9A" w:sz="4" w:space="1"/>
          <w:between w:val="single" w:color="9A9A9A" w:sz="4" w:space="1"/>
        </w:pBdr>
        <w:spacing w:after="0" w:before="0" w:line="276"/>
        <w:ind w:left="360"/>
      </w:pPr>
      <w:r>
        <w:rPr>
          <w:rFonts w:ascii="Arial" w:cs="Arial" w:eastAsia="Arial" w:hAnsi="Arial"/>
          <w:color w:val="111111"/>
          <w:sz w:val="21"/>
          <w:szCs w:val="21"/>
        </w:rPr>
        <w:t xml:space="preserve"> </w:t>
      </w:r>
    </w:p>
    <w:p>
      <w:pPr>
        <w:keepNext/>
        <w:keepLines/>
        <w:pBdr>
          <w:bottom w:val="single" w:color="9A9A9A" w:sz="4" w:space="1"/>
          <w:between w:val="single" w:color="9A9A9A" w:sz="4" w:space="1"/>
        </w:pBdr>
        <w:spacing w:after="0" w:before="160" w:line="276"/>
        <w:ind w:left="360"/>
      </w:pPr>
      <w:r>
        <w:rPr>
          <w:rFonts w:ascii="Arial" w:cs="Arial" w:eastAsia="Arial" w:hAnsi="Arial"/>
          <w:color w:val="111111"/>
          <w:sz w:val="21"/>
          <w:szCs w:val="21"/>
        </w:rPr>
        <w:t xml:space="preserve"> </w:t>
      </w:r>
    </w:p>
    <w:p>
      <w:pPr>
        <w:keepNext w:val="false"/>
        <w:keepLines/>
        <w:pBdr>
          <w:bottom w:val="single" w:color="9A9A9A" w:sz="4" w:space="1"/>
          <w:between w:val="single" w:color="9A9A9A" w:sz="4" w:space="1"/>
        </w:pBdr>
        <w:spacing w:after="280" w:before="160" w:line="276"/>
        <w:ind w:left="360"/>
      </w:pPr>
      <w:r>
        <w:rPr>
          <w:rFonts w:ascii="Arial" w:cs="Arial" w:eastAsia="Arial" w:hAnsi="Arial"/>
          <w:color w:val="111111"/>
          <w:sz w:val="21"/>
          <w:szCs w:val="21"/>
        </w:rPr>
        <w:t xml:space="preserve"> </w:t>
      </w:r>
    </w:p>
    <w:p>
      <w:pPr>
        <w:pStyle w:val="Heading2"/>
        <w:keepNext/>
        <w:keepLines/>
        <w:spacing w:after="100" w:before="120"/>
      </w:pPr>
      <w:r>
        <w:rPr>
          <w:rFonts w:ascii="Arial" w:cs="Arial" w:eastAsia="Arial" w:hAnsi="Arial"/>
          <w:b/>
          <w:bCs/>
          <w:color w:val="111111"/>
          <w:sz w:val="24"/>
          <w:szCs w:val="24"/>
        </w:rPr>
        <w:t xml:space="preserve">9. Brand dashboard</w:t>
      </w:r>
    </w:p>
    <w:p>
      <w:pPr>
        <w:keepNext/>
        <w:keepLines/>
        <w:spacing w:after="80" w:before="0" w:line="276"/>
        <w:ind w:left="360"/>
      </w:pPr>
      <w:r>
        <w:rPr>
          <w:rFonts w:ascii="Arial" w:cs="Arial" w:eastAsia="Arial" w:hAnsi="Arial"/>
          <w:b/>
          <w:bCs/>
          <w:color w:val="111111"/>
          <w:sz w:val="21"/>
          <w:szCs w:val="21"/>
        </w:rPr>
        <w:t xml:space="preserve">Where: </w:t>
      </w:r>
      <w:r>
        <w:rPr>
          <w:rFonts w:ascii="Arial" w:cs="Arial" w:eastAsia="Arial" w:hAnsi="Arial"/>
          <w:color w:val="111111"/>
          <w:sz w:val="21"/>
          <w:szCs w:val="21"/>
        </w:rPr>
        <w:t xml:space="preserve">Section 3, Brand / Manufacturer, brand dashboard.</w:t>
      </w:r>
    </w:p>
    <w:p>
      <w:pPr>
        <w:keepNext/>
        <w:keepLines/>
        <w:spacing w:after="80" w:before="0" w:line="276"/>
        <w:ind w:left="360"/>
      </w:pPr>
      <w:r>
        <w:rPr>
          <w:rFonts w:ascii="Arial" w:cs="Arial" w:eastAsia="Arial" w:hAnsi="Arial"/>
          <w:b/>
          <w:bCs/>
          <w:color w:val="111111"/>
          <w:sz w:val="21"/>
          <w:szCs w:val="21"/>
        </w:rPr>
        <w:t xml:space="preserve">Your note: </w:t>
      </w:r>
      <w:r>
        <w:rPr>
          <w:rFonts w:ascii="Arial" w:cs="Arial" w:eastAsia="Arial" w:hAnsi="Arial"/>
          <w:i/>
          <w:iCs/>
          <w:color w:val="111111"/>
          <w:sz w:val="21"/>
          <w:szCs w:val="21"/>
        </w:rPr>
        <w:t xml:space="preserve">“OK. Only for communication, not POC @ market.”</w:t>
      </w:r>
    </w:p>
    <w:p>
      <w:pPr>
        <w:keepNext/>
        <w:keepLines/>
        <w:spacing w:after="80" w:before="0" w:line="276"/>
        <w:ind w:left="360"/>
      </w:pPr>
      <w:r>
        <w:rPr>
          <w:rFonts w:ascii="Arial" w:cs="Arial" w:eastAsia="Arial" w:hAnsi="Arial"/>
          <w:b/>
          <w:bCs/>
          <w:color w:val="111111"/>
          <w:sz w:val="21"/>
          <w:szCs w:val="21"/>
        </w:rPr>
        <w:t xml:space="preserve">How we read it: </w:t>
      </w:r>
      <w:r>
        <w:rPr>
          <w:rFonts w:ascii="Arial" w:cs="Arial" w:eastAsia="Arial" w:hAnsi="Arial"/>
          <w:color w:val="111111"/>
          <w:sz w:val="21"/>
          <w:szCs w:val="21"/>
        </w:rPr>
        <w:t xml:space="preserve">The brand dashboard stays in the document to show the future plan; it is not part of the POC in the market.</w:t>
      </w:r>
    </w:p>
    <w:p>
      <w:pPr>
        <w:keepNext/>
        <w:keepLines/>
        <w:spacing w:after="80" w:before="0" w:line="276"/>
        <w:ind w:left="360"/>
      </w:pPr>
      <w:r>
        <w:rPr>
          <w:rFonts w:ascii="Arial" w:cs="Arial" w:eastAsia="Arial" w:hAnsi="Arial"/>
          <w:b/>
          <w:bCs/>
          <w:color w:val="111111"/>
          <w:sz w:val="21"/>
          <w:szCs w:val="21"/>
        </w:rPr>
        <w:t xml:space="preserve">Question: </w:t>
      </w:r>
      <w:r>
        <w:rPr>
          <w:rFonts w:ascii="Arial" w:cs="Arial" w:eastAsia="Arial" w:hAnsi="Arial"/>
          <w:color w:val="111111"/>
          <w:sz w:val="21"/>
          <w:szCs w:val="21"/>
        </w:rPr>
        <w:t xml:space="preserve">Is that right?</w:t>
      </w:r>
    </w:p>
    <w:p>
      <w:pPr>
        <w:keepNext/>
        <w:keepLines/>
        <w:spacing w:after="0" w:before="60" w:line="276"/>
        <w:ind w:left="360"/>
      </w:pPr>
      <w:r>
        <w:rPr>
          <w:rFonts w:ascii="Arial" w:cs="Arial" w:eastAsia="Arial" w:hAnsi="Arial"/>
          <w:b/>
          <w:bCs/>
          <w:color w:val="111111"/>
          <w:sz w:val="21"/>
          <w:szCs w:val="21"/>
        </w:rPr>
        <w:t xml:space="preserve">Your answer:</w:t>
      </w:r>
    </w:p>
    <w:p>
      <w:pPr>
        <w:keepNext/>
        <w:keepLines/>
        <w:pBdr>
          <w:bottom w:val="single" w:color="9A9A9A" w:sz="4" w:space="1"/>
          <w:between w:val="single" w:color="9A9A9A" w:sz="4" w:space="1"/>
        </w:pBdr>
        <w:spacing w:after="0" w:before="0" w:line="276"/>
        <w:ind w:left="360"/>
      </w:pPr>
      <w:r>
        <w:rPr>
          <w:rFonts w:ascii="Arial" w:cs="Arial" w:eastAsia="Arial" w:hAnsi="Arial"/>
          <w:color w:val="111111"/>
          <w:sz w:val="21"/>
          <w:szCs w:val="21"/>
        </w:rPr>
        <w:t xml:space="preserve"> </w:t>
      </w:r>
    </w:p>
    <w:p>
      <w:pPr>
        <w:keepNext/>
        <w:keepLines/>
        <w:pBdr>
          <w:bottom w:val="single" w:color="9A9A9A" w:sz="4" w:space="1"/>
          <w:between w:val="single" w:color="9A9A9A" w:sz="4" w:space="1"/>
        </w:pBdr>
        <w:spacing w:after="0" w:before="160" w:line="276"/>
        <w:ind w:left="360"/>
      </w:pPr>
      <w:r>
        <w:rPr>
          <w:rFonts w:ascii="Arial" w:cs="Arial" w:eastAsia="Arial" w:hAnsi="Arial"/>
          <w:color w:val="111111"/>
          <w:sz w:val="21"/>
          <w:szCs w:val="21"/>
        </w:rPr>
        <w:t xml:space="preserve"> </w:t>
      </w:r>
    </w:p>
    <w:p>
      <w:pPr>
        <w:keepNext w:val="false"/>
        <w:keepLines/>
        <w:pBdr>
          <w:bottom w:val="single" w:color="9A9A9A" w:sz="4" w:space="1"/>
          <w:between w:val="single" w:color="9A9A9A" w:sz="4" w:space="1"/>
        </w:pBdr>
        <w:spacing w:after="280" w:before="160" w:line="276"/>
        <w:ind w:left="360"/>
      </w:pPr>
      <w:r>
        <w:rPr>
          <w:rFonts w:ascii="Arial" w:cs="Arial" w:eastAsia="Arial" w:hAnsi="Arial"/>
          <w:color w:val="111111"/>
          <w:sz w:val="21"/>
          <w:szCs w:val="21"/>
        </w:rPr>
        <w:t xml:space="preserve"> </w:t>
      </w:r>
    </w:p>
    <w:p>
      <w:pPr>
        <w:pStyle w:val="Heading2"/>
        <w:keepNext/>
        <w:keepLines/>
        <w:spacing w:after="100" w:before="120"/>
      </w:pPr>
      <w:r>
        <w:rPr>
          <w:rFonts w:ascii="Arial" w:cs="Arial" w:eastAsia="Arial" w:hAnsi="Arial"/>
          <w:b/>
          <w:bCs/>
          <w:color w:val="111111"/>
          <w:sz w:val="24"/>
          <w:szCs w:val="24"/>
        </w:rPr>
        <w:t xml:space="preserve">10. Paying through the platform</w:t>
      </w:r>
    </w:p>
    <w:p>
      <w:pPr>
        <w:keepNext/>
        <w:keepLines/>
        <w:spacing w:after="80" w:before="0" w:line="276"/>
        <w:ind w:left="360"/>
      </w:pPr>
      <w:r>
        <w:rPr>
          <w:rFonts w:ascii="Arial" w:cs="Arial" w:eastAsia="Arial" w:hAnsi="Arial"/>
          <w:b/>
          <w:bCs/>
          <w:color w:val="111111"/>
          <w:sz w:val="21"/>
          <w:szCs w:val="21"/>
        </w:rPr>
        <w:t xml:space="preserve">Where: </w:t>
      </w:r>
      <w:r>
        <w:rPr>
          <w:rFonts w:ascii="Arial" w:cs="Arial" w:eastAsia="Arial" w:hAnsi="Arial"/>
          <w:color w:val="111111"/>
          <w:sz w:val="21"/>
          <w:szCs w:val="21"/>
        </w:rPr>
        <w:t xml:space="preserve">Section 4, marketplace path, row 8 (Pays the milestone through the platform).</w:t>
      </w:r>
    </w:p>
    <w:p>
      <w:pPr>
        <w:keepNext/>
        <w:keepLines/>
        <w:spacing w:after="80" w:before="0" w:line="276"/>
        <w:ind w:left="360"/>
      </w:pPr>
      <w:r>
        <w:rPr>
          <w:rFonts w:ascii="Arial" w:cs="Arial" w:eastAsia="Arial" w:hAnsi="Arial"/>
          <w:b/>
          <w:bCs/>
          <w:color w:val="111111"/>
          <w:sz w:val="21"/>
          <w:szCs w:val="21"/>
        </w:rPr>
        <w:t xml:space="preserve">Your note: </w:t>
      </w:r>
      <w:r>
        <w:rPr>
          <w:rFonts w:ascii="Arial" w:cs="Arial" w:eastAsia="Arial" w:hAnsi="Arial"/>
          <w:i/>
          <w:iCs/>
          <w:color w:val="111111"/>
          <w:sz w:val="21"/>
          <w:szCs w:val="21"/>
        </w:rPr>
        <w:t xml:space="preserve">A line next to the row, without text.</w:t>
      </w:r>
    </w:p>
    <w:p>
      <w:pPr>
        <w:keepNext/>
        <w:keepLines/>
        <w:spacing w:after="80" w:before="0" w:line="276"/>
        <w:ind w:left="360"/>
      </w:pPr>
      <w:r>
        <w:rPr>
          <w:rFonts w:ascii="Arial" w:cs="Arial" w:eastAsia="Arial" w:hAnsi="Arial"/>
          <w:b/>
          <w:bCs/>
          <w:color w:val="111111"/>
          <w:sz w:val="21"/>
          <w:szCs w:val="21"/>
        </w:rPr>
        <w:t xml:space="preserve">How we read it: </w:t>
      </w:r>
      <w:r>
        <w:rPr>
          <w:rFonts w:ascii="Arial" w:cs="Arial" w:eastAsia="Arial" w:hAnsi="Arial"/>
          <w:color w:val="111111"/>
          <w:sz w:val="21"/>
          <w:szCs w:val="21"/>
        </w:rPr>
        <w:t xml:space="preserve">This is out of scope, in line with your note on Section 2, step 15.</w:t>
      </w:r>
    </w:p>
    <w:p>
      <w:pPr>
        <w:keepNext/>
        <w:keepLines/>
        <w:spacing w:after="80" w:before="0" w:line="276"/>
        <w:ind w:left="360"/>
      </w:pPr>
      <w:r>
        <w:rPr>
          <w:rFonts w:ascii="Arial" w:cs="Arial" w:eastAsia="Arial" w:hAnsi="Arial"/>
          <w:b/>
          <w:bCs/>
          <w:color w:val="111111"/>
          <w:sz w:val="21"/>
          <w:szCs w:val="21"/>
        </w:rPr>
        <w:t xml:space="preserve">Question: </w:t>
      </w:r>
      <w:r>
        <w:rPr>
          <w:rFonts w:ascii="Arial" w:cs="Arial" w:eastAsia="Arial" w:hAnsi="Arial"/>
          <w:color w:val="111111"/>
          <w:sz w:val="21"/>
          <w:szCs w:val="21"/>
        </w:rPr>
        <w:t xml:space="preserve">Is that right?</w:t>
      </w:r>
    </w:p>
    <w:p>
      <w:pPr>
        <w:keepNext/>
        <w:keepLines/>
        <w:spacing w:after="0" w:before="60" w:line="276"/>
        <w:ind w:left="360"/>
      </w:pPr>
      <w:r>
        <w:rPr>
          <w:rFonts w:ascii="Arial" w:cs="Arial" w:eastAsia="Arial" w:hAnsi="Arial"/>
          <w:b/>
          <w:bCs/>
          <w:color w:val="111111"/>
          <w:sz w:val="21"/>
          <w:szCs w:val="21"/>
        </w:rPr>
        <w:t xml:space="preserve">Your answer:</w:t>
      </w:r>
    </w:p>
    <w:p>
      <w:pPr>
        <w:keepNext/>
        <w:keepLines/>
        <w:pBdr>
          <w:bottom w:val="single" w:color="9A9A9A" w:sz="4" w:space="1"/>
          <w:between w:val="single" w:color="9A9A9A" w:sz="4" w:space="1"/>
        </w:pBdr>
        <w:spacing w:after="0" w:before="0" w:line="276"/>
        <w:ind w:left="360"/>
      </w:pPr>
      <w:r>
        <w:rPr>
          <w:rFonts w:ascii="Arial" w:cs="Arial" w:eastAsia="Arial" w:hAnsi="Arial"/>
          <w:color w:val="111111"/>
          <w:sz w:val="21"/>
          <w:szCs w:val="21"/>
        </w:rPr>
        <w:t xml:space="preserve"> </w:t>
      </w:r>
    </w:p>
    <w:p>
      <w:pPr>
        <w:keepNext/>
        <w:keepLines/>
        <w:pBdr>
          <w:bottom w:val="single" w:color="9A9A9A" w:sz="4" w:space="1"/>
          <w:between w:val="single" w:color="9A9A9A" w:sz="4" w:space="1"/>
        </w:pBdr>
        <w:spacing w:after="0" w:before="160" w:line="276"/>
        <w:ind w:left="360"/>
      </w:pPr>
      <w:r>
        <w:rPr>
          <w:rFonts w:ascii="Arial" w:cs="Arial" w:eastAsia="Arial" w:hAnsi="Arial"/>
          <w:color w:val="111111"/>
          <w:sz w:val="21"/>
          <w:szCs w:val="21"/>
        </w:rPr>
        <w:t xml:space="preserve"> </w:t>
      </w:r>
    </w:p>
    <w:p>
      <w:pPr>
        <w:keepNext w:val="false"/>
        <w:keepLines/>
        <w:pBdr>
          <w:bottom w:val="single" w:color="9A9A9A" w:sz="4" w:space="1"/>
          <w:between w:val="single" w:color="9A9A9A" w:sz="4" w:space="1"/>
        </w:pBdr>
        <w:spacing w:after="280" w:before="160" w:line="276"/>
        <w:ind w:left="360"/>
      </w:pPr>
      <w:r>
        <w:rPr>
          <w:rFonts w:ascii="Arial" w:cs="Arial" w:eastAsia="Arial" w:hAnsi="Arial"/>
          <w:color w:val="111111"/>
          <w:sz w:val="21"/>
          <w:szCs w:val="21"/>
        </w:rPr>
        <w:t xml:space="preserve"> </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Plan2Build user flows: questions on your review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Plan2Build user flows: questions on your review</dc:title>
  <dc:creator>Plan2Build</dc:creator>
  <cp:lastModifiedBy>Un-named</cp:lastModifiedBy>
  <cp:revision>1</cp:revision>
  <dcterms:created xsi:type="dcterms:W3CDTF">2026-10-03T09:40:33.492Z</dcterms:created>
  <dcterms:modified xsi:type="dcterms:W3CDTF">2026-10-03T09:40:33.492Z</dcterms:modified>
</cp:coreProperties>
</file>

<file path=docProps/custom.xml><?xml version="1.0" encoding="utf-8"?>
<Properties xmlns="http://schemas.openxmlformats.org/officeDocument/2006/custom-properties" xmlns:vt="http://schemas.openxmlformats.org/officeDocument/2006/docPropsVTypes"/>
</file>