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E3A8A"/>
          <w:sz w:val="44"/>
        </w:rPr>
        <w:t>CogniPath AI: Personalized Learning System using Deep Knowledge Tracing (DKT)</w:t>
      </w:r>
    </w:p>
    <w:p>
      <w:pPr>
        <w:jc w:val="center"/>
      </w:pPr>
      <w:r>
        <w:rPr>
          <w:rFonts w:ascii="Arial" w:hAnsi="Arial"/>
          <w:i/>
          <w:color w:val="6B7280"/>
          <w:sz w:val="22"/>
        </w:rPr>
        <w:t>Deep Learning Capstone Project | Final Review &amp; Viva Defense Documentation</w:t>
        <w:br/>
        <w:t>Architecture, Multi-Benchmark Evaluation, Live Demo Protocol &amp; Member Distribution</w:t>
      </w:r>
    </w:p>
    <w:p/>
    <w:p>
      <w:pPr>
        <w:pStyle w:val="Heading1"/>
      </w:pPr>
      <w:r>
        <w:rPr>
          <w:color w:val="1E3A8A"/>
        </w:rPr>
        <w:t>1. Team Contribution &amp; Responsibility Breakdown (4 Members)</w:t>
      </w:r>
    </w:p>
    <w:p>
      <w:r>
        <w:t>To ensure seamless presentation during the evaluation, the project responsibilities, code modules, and presentation segments are distributed across all 4 team members as follows: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1E3A8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Member</w:t>
            </w:r>
          </w:p>
        </w:tc>
        <w:tc>
          <w:tcPr>
            <w:tcW w:type="dxa" w:w="1987"/>
            <w:shd w:fill="1E3A8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Assigned Role</w:t>
            </w:r>
          </w:p>
        </w:tc>
        <w:tc>
          <w:tcPr>
            <w:tcW w:type="dxa" w:w="1987"/>
            <w:shd w:fill="1E3A8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Core Responsibilities &amp; Deliverables</w:t>
            </w:r>
          </w:p>
        </w:tc>
        <w:tc>
          <w:tcPr>
            <w:tcW w:type="dxa" w:w="1987"/>
            <w:shd w:fill="1E3A8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Key Code Modules</w:t>
            </w:r>
          </w:p>
        </w:tc>
        <w:tc>
          <w:tcPr>
            <w:tcW w:type="dxa" w:w="1987"/>
            <w:shd w:fill="1E3A8A"/>
          </w:tcPr>
          <w:p>
            <w:r>
              <w:rPr>
                <w:rFonts w:ascii="Arial" w:hAnsi="Arial"/>
                <w:b/>
                <w:color w:val="FFFFFF"/>
                <w:sz w:val="19"/>
              </w:rPr>
              <w:t>Viva Defense Specialty</w:t>
            </w:r>
          </w:p>
        </w:tc>
      </w:tr>
      <w:tr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Member 1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Lead Data Engineer &amp; Problem Framing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• Educational problem formulation (Uniform learning flaw)</w:t>
              <w:br/>
              <w:t>• Benchmark dataset curation (ASSISTments, CogniPath CS-DKT, EdNet)</w:t>
              <w:br/>
              <w:t>• PSV format conversion &amp; removal of dummy data</w:t>
              <w:br/>
              <w:t>• Item Response Theory (IRT) baseline analysis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data/psv/*.psv</w:t>
              <w:br/>
              <w:t>data/dsa_taxonomy.json</w:t>
              <w:br/>
              <w:t>extract_and_save_psv.py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Data preprocessing, benchmark validity, class imbalance handling, PSV schema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Member 2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Deep Learning &amp; Neural Architecture Lead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• PyTorch DKT-LSTM architecture implementation</w:t>
              <w:br/>
              <w:t>• Multi-feature continuous telemetry projection (Time, Attempts, Days)</w:t>
              <w:br/>
              <w:t>• Discrete Concept &amp; Correctness embeddings</w:t>
              <w:br/>
              <w:t>• Masked BCEWithLogitsLoss formulation &amp; optimization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models/dkt_lstm.py</w:t>
              <w:br/>
              <w:t>train.py</w:t>
              <w:br/>
              <w:t>train_real_dkt.py</w:t>
              <w:br/>
              <w:t>weights/*.pt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Why LSTM vs BKT/Transformer, vanishing gradients, masked loss math, backprop</w:t>
            </w:r>
          </w:p>
        </w:tc>
      </w:tr>
      <w:tr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Member 3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Cognitive Diagnostics &amp; Explainability Specialist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• Topic-wise Knowledge Profiler (Bayesian empirical smoothing)</w:t>
              <w:br/>
              <w:t>• Cognitive Weakness Detection &amp; Prerequisite cascading blockers</w:t>
              <w:br/>
              <w:t>• Ebbinghaus exponential forgetting decay modeling R(t)</w:t>
              <w:br/>
              <w:t>• Behavioral Learning Style profiling (Pace, Precision)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models/knowledge_profile.py</w:t>
              <w:br/>
              <w:t>models/weakness_detector.py</w:t>
              <w:br/>
              <w:t>models/forgetting_detector.py</w:t>
              <w:br/>
              <w:t>models/learning_style.py</w:t>
            </w:r>
          </w:p>
        </w:tc>
        <w:tc>
          <w:tcPr>
            <w:tcW w:type="dxa" w:w="1987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Forgetting curve formula, memory stability, prerequisite graph traversal, style metrics</w:t>
            </w:r>
          </w:p>
        </w:tc>
      </w:tr>
      <w:tr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Member 4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Adaptive Recommender &amp; Full-Stack Deployment Lead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• Zone of Proximal Development (ZPD) recommendation algorithm</w:t>
              <w:br/>
              <w:t>• Dynamic difficulty stepping (Easy, Medium, Hard)</w:t>
              <w:br/>
              <w:t>• Continual learning &amp; dynamic dataset appending</w:t>
              <w:br/>
              <w:t>• Interactive CLI &amp; Streamlit Live Demonstration runner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recommendation/recommender.py</w:t>
              <w:br/>
              <w:t>engine.py</w:t>
              <w:br/>
              <w:t>demo_interactive.py</w:t>
              <w:br/>
              <w:t>app.py</w:t>
              <w:br/>
              <w:t>tests/test_model.py</w:t>
            </w:r>
          </w:p>
        </w:tc>
        <w:tc>
          <w:tcPr>
            <w:tcW w:type="dxa" w:w="1987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1F2937"/>
                <w:sz w:val="17"/>
              </w:rPr>
              <w:t>ZPD educational psychology, live demonstration flow, continual fine-tuning, latency</w:t>
            </w:r>
          </w:p>
        </w:tc>
      </w:tr>
    </w:tbl>
    <w:p/>
    <w:p>
      <w:pPr>
        <w:pStyle w:val="Heading1"/>
      </w:pPr>
      <w:r>
        <w:rPr>
          <w:color w:val="1E3A8A"/>
        </w:rPr>
        <w:t>2. Executive Overview &amp; Problem Statement</w:t>
      </w:r>
    </w:p>
    <w:p>
      <w:r>
        <w:rPr>
          <w:rFonts w:ascii="Arial" w:hAnsi="Arial"/>
        </w:rPr>
        <w:t xml:space="preserve">Standard educational platforms and coding websites suffer from the </w:t>
      </w:r>
      <w:r>
        <w:rPr>
          <w:b/>
        </w:rPr>
        <w:t>Uniform Assessment Paradox</w:t>
      </w:r>
      <w:r>
        <w:t>: two students who both achieve an aggregate score of 70% are treated identically. However, Student A might have 95% mastery in linear structures (Arrays/Strings) but 35% in hierarchical structures (Recursion/Trees), whereas Student B has the exact opposite strengths. Conventional algorithms assign both students identical problems.</w:t>
        <w:br/>
        <w:br/>
        <w:t>Traditional psychometric techniques like Bayesian Knowledge Tracing (BKT) fail because they treat each concept as an isolated, independent binary Markov process without cross-topic transfer, prerequisite hierarchy, or response latency awareness. CogniPath AI overcomes this through Deep Knowledge Tracing (DKT), combining a 2-layer PyTorch LSTM with multi-feature cognitive telemetry, Ebbinghaus forgetting dynamics, and Vygotskian Zone of Proximal Development (ZPD) recommendations.</w:t>
      </w:r>
    </w:p>
    <w:p>
      <w:pPr>
        <w:pStyle w:val="Heading1"/>
      </w:pPr>
      <w:r>
        <w:rPr>
          <w:color w:val="1E3A8A"/>
        </w:rPr>
        <w:t>3. Benchmark Datasets in Standardized PSV Format</w:t>
      </w:r>
    </w:p>
    <w:p>
      <w:r>
        <w:t>All dummy/synthetic generators were removed. The system is trained, validated, and evaluated directly on extracted Pipe-Separated Values (PSV) files located in data/psv/: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  <w:shd w:fill="0E7490"/>
          </w:tcPr>
          <w:p>
            <w:r>
              <w:rPr>
                <w:b/>
                <w:color w:val="FFFFFF"/>
                <w:sz w:val="19"/>
              </w:rPr>
              <w:t>Dataset Name</w:t>
            </w:r>
          </w:p>
        </w:tc>
        <w:tc>
          <w:tcPr>
            <w:tcW w:type="dxa" w:w="1987"/>
            <w:shd w:fill="0E7490"/>
          </w:tcPr>
          <w:p>
            <w:r>
              <w:rPr>
                <w:b/>
                <w:color w:val="FFFFFF"/>
                <w:sz w:val="19"/>
              </w:rPr>
              <w:t>Domain &amp; Scope</w:t>
            </w:r>
          </w:p>
        </w:tc>
        <w:tc>
          <w:tcPr>
            <w:tcW w:type="dxa" w:w="1987"/>
            <w:shd w:fill="0E7490"/>
          </w:tcPr>
          <w:p>
            <w:r>
              <w:rPr>
                <w:b/>
                <w:color w:val="FFFFFF"/>
                <w:sz w:val="19"/>
              </w:rPr>
              <w:t>Interactions</w:t>
            </w:r>
          </w:p>
        </w:tc>
        <w:tc>
          <w:tcPr>
            <w:tcW w:type="dxa" w:w="1987"/>
            <w:shd w:fill="0E7490"/>
          </w:tcPr>
          <w:p>
            <w:r>
              <w:rPr>
                <w:b/>
                <w:color w:val="FFFFFF"/>
                <w:sz w:val="19"/>
              </w:rPr>
              <w:t>Skill Tags</w:t>
            </w:r>
          </w:p>
        </w:tc>
        <w:tc>
          <w:tcPr>
            <w:tcW w:type="dxa" w:w="1987"/>
            <w:shd w:fill="0E7490"/>
          </w:tcPr>
          <w:p>
            <w:r>
              <w:rPr>
                <w:b/>
                <w:color w:val="FFFFFF"/>
                <w:sz w:val="19"/>
              </w:rPr>
              <w:t>Key Features Tracked</w:t>
            </w:r>
          </w:p>
        </w:tc>
      </w:tr>
      <w:tr>
        <w:tc>
          <w:tcPr>
            <w:tcW w:type="dxa" w:w="1987"/>
            <w:shd w:fill="F0FD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F2937"/>
                <w:sz w:val="17"/>
              </w:rPr>
              <w:t>CogniPath CS-DKT</w:t>
            </w:r>
          </w:p>
        </w:tc>
        <w:tc>
          <w:tcPr>
            <w:tcW w:type="dxa" w:w="1987"/>
            <w:shd w:fill="F0FD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F2937"/>
                <w:sz w:val="17"/>
              </w:rPr>
              <w:t>Computer Science (Arrays, Strings, Recursion, Trees, Graphs, DP)</w:t>
            </w:r>
          </w:p>
        </w:tc>
        <w:tc>
          <w:tcPr>
            <w:tcW w:type="dxa" w:w="1987"/>
            <w:shd w:fill="F0FD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F2937"/>
                <w:sz w:val="17"/>
              </w:rPr>
              <w:t>1,420+</w:t>
            </w:r>
          </w:p>
        </w:tc>
        <w:tc>
          <w:tcPr>
            <w:tcW w:type="dxa" w:w="1987"/>
            <w:shd w:fill="F0FD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F2937"/>
                <w:sz w:val="17"/>
              </w:rPr>
              <w:t>6</w:t>
            </w:r>
          </w:p>
        </w:tc>
        <w:tc>
          <w:tcPr>
            <w:tcW w:type="dxa" w:w="1987"/>
            <w:shd w:fill="F0FDF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F2937"/>
                <w:sz w:val="17"/>
              </w:rPr>
              <w:t>user_id, topic_id, is_correct, time_taken_sec, hints_used, attempts_count</w:t>
            </w:r>
          </w:p>
        </w:tc>
      </w:tr>
      <w:tr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F2937"/>
                <w:sz w:val="17"/>
              </w:rPr>
              <w:t>ASSISTments 2009-2010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F2937"/>
                <w:sz w:val="17"/>
              </w:rPr>
              <w:t>K-12 Math Skill Builder (WPI Neil Heffernan Lab)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F2937"/>
                <w:sz w:val="17"/>
              </w:rPr>
              <w:t>525,534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F2937"/>
                <w:sz w:val="17"/>
              </w:rPr>
              <w:t>123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F2937"/>
                <w:sz w:val="17"/>
              </w:rPr>
              <w:t>user_id, skill_id, correct, hint_count, ms_first_response</w:t>
            </w:r>
          </w:p>
        </w:tc>
      </w:tr>
      <w:tr>
        <w:tc>
          <w:tcPr>
            <w:tcW w:type="dxa" w:w="198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F2937"/>
                <w:sz w:val="17"/>
              </w:rPr>
              <w:t>EdNet (Riiid Labs)</w:t>
            </w:r>
          </w:p>
        </w:tc>
        <w:tc>
          <w:tcPr>
            <w:tcW w:type="dxa" w:w="198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F2937"/>
                <w:sz w:val="17"/>
              </w:rPr>
              <w:t>AI Test Prep &amp; Standardized English/Math Tutoring</w:t>
            </w:r>
          </w:p>
        </w:tc>
        <w:tc>
          <w:tcPr>
            <w:tcW w:type="dxa" w:w="198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F2937"/>
                <w:sz w:val="17"/>
              </w:rPr>
              <w:t>131,441,538</w:t>
            </w:r>
          </w:p>
        </w:tc>
        <w:tc>
          <w:tcPr>
            <w:tcW w:type="dxa" w:w="198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F2937"/>
                <w:sz w:val="17"/>
              </w:rPr>
              <w:t>188</w:t>
            </w:r>
          </w:p>
        </w:tc>
        <w:tc>
          <w:tcPr>
            <w:tcW w:type="dxa" w:w="198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F2937"/>
                <w:sz w:val="17"/>
              </w:rPr>
              <w:t>solving_id, elapsed_time, user_answer, explanation_read</w:t>
            </w:r>
          </w:p>
        </w:tc>
      </w:tr>
      <w:tr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F2937"/>
                <w:sz w:val="17"/>
              </w:rPr>
              <w:t>KDD Cup 2010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F2937"/>
                <w:sz w:val="17"/>
              </w:rPr>
              <w:t>Algebra &amp; Cognitive Tutor (Carnegie Mellon University)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F2937"/>
                <w:sz w:val="17"/>
              </w:rPr>
              <w:t>8,918,054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F2937"/>
                <w:sz w:val="17"/>
              </w:rPr>
              <w:t>112</w:t>
            </w:r>
          </w:p>
        </w:tc>
        <w:tc>
          <w:tcPr>
            <w:tcW w:type="dxa" w:w="1987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F2937"/>
                <w:sz w:val="17"/>
              </w:rPr>
              <w:t>Student Id, Problem Name, Step Name, Incorrects, Hints</w:t>
            </w:r>
          </w:p>
        </w:tc>
      </w:tr>
      <w:tr>
        <w:tc>
          <w:tcPr>
            <w:tcW w:type="dxa" w:w="198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F2937"/>
                <w:sz w:val="17"/>
              </w:rPr>
              <w:t>Statics2011 (CMU)</w:t>
            </w:r>
          </w:p>
        </w:tc>
        <w:tc>
          <w:tcPr>
            <w:tcW w:type="dxa" w:w="198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F2937"/>
                <w:sz w:val="17"/>
              </w:rPr>
              <w:t>University Engineering Statics Problems</w:t>
            </w:r>
          </w:p>
        </w:tc>
        <w:tc>
          <w:tcPr>
            <w:tcW w:type="dxa" w:w="198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F2937"/>
                <w:sz w:val="17"/>
              </w:rPr>
              <w:t>189,297</w:t>
            </w:r>
          </w:p>
        </w:tc>
        <w:tc>
          <w:tcPr>
            <w:tcW w:type="dxa" w:w="198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F2937"/>
                <w:sz w:val="17"/>
              </w:rPr>
              <w:t>84</w:t>
            </w:r>
          </w:p>
        </w:tc>
        <w:tc>
          <w:tcPr>
            <w:tcW w:type="dxa" w:w="1987"/>
            <w:shd w:fill="F8FAFC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color w:val="1F2937"/>
                <w:sz w:val="17"/>
              </w:rPr>
              <w:t>Student ID, Problem Name, CF Attempt, Duration</w:t>
            </w:r>
          </w:p>
        </w:tc>
      </w:tr>
    </w:tbl>
    <w:p/>
    <w:p>
      <w:pPr>
        <w:pStyle w:val="Heading1"/>
      </w:pPr>
      <w:r>
        <w:rPr>
          <w:color w:val="1E3A8A"/>
        </w:rPr>
        <w:t>4. Deep Learning Model Architecture &amp; Mathematical Formulation</w:t>
      </w:r>
    </w:p>
    <w:p>
      <w:r>
        <w:rPr>
          <w:b/>
        </w:rPr>
        <w:t>4.1 Multi-Feature Input Encoding</w:t>
        <w:br/>
      </w:r>
      <w:r>
        <w:t>At each interaction step t, the model ingests a 5-tuple: concept c_t, correctness y_t, response time tau_t, attempts k_t, and elapsed days delta_t. Continuous metrics are log-normalized to prevent gradient explosion:</w:t>
        <w:br/>
        <w:t xml:space="preserve">  v_t = [ log(1 + tau_t / 60),  log(1 + k_t),  log(1 + delta_t) ] in R^3</w:t>
        <w:br/>
        <w:t xml:space="preserve">  x_t = LayerNorm( [ e_concept(c_t) || e_correct(y_t) || MLP_telemetry(v_t) ] ) in R^64</w:t>
        <w:br/>
        <w:br/>
      </w:r>
      <w:r>
        <w:rPr>
          <w:b/>
        </w:rPr>
        <w:t>4.2 Recurrent Knowledge State Dynamics</w:t>
        <w:br/>
      </w:r>
      <w:r>
        <w:t>The cognitive state vector h_t is updated across sequential attempts via a 2-layer LSTM core:</w:t>
        <w:br/>
        <w:t xml:space="preserve">  (h_t, c_t) = LSTM(x_t, (h_{t-1}, c_{t-1})) where h_t in R^64</w:t>
        <w:br/>
        <w:br/>
      </w:r>
      <w:r>
        <w:rPr>
          <w:b/>
        </w:rPr>
        <w:t>4.3 Concept Mastery Logits &amp; Masked Loss Function</w:t>
        <w:br/>
      </w:r>
      <w:r>
        <w:t>The prediction head projects latent state h_t to output logits z_{t+1} across all concepts. Training optimizes Masked Binary Cross-Entropy with Logits (BCEWithLogitsLoss):</w:t>
        <w:br/>
        <w:t xml:space="preserve">  Loss = - (1 / N) * sum_{i=1}^N [ y_{t+1} * log sigma(z_{t+1}) + (1 - y_{t+1}) * log(1 - sigma(z_{t+1})) ] * mask_{t+1}</w:t>
        <w:br/>
        <w:t>Masking guarantees padding tokens do not introduce artificial gradients.</w:t>
      </w:r>
    </w:p>
    <w:p>
      <w:pPr>
        <w:pStyle w:val="Heading1"/>
      </w:pPr>
      <w:r>
        <w:rPr>
          <w:color w:val="1E3A8A"/>
        </w:rPr>
        <w:t>5. Cognitive Diagnostics: Weakness, Forgetting &amp; Style</w:t>
      </w:r>
    </w:p>
    <w:p>
      <w:r>
        <w:t>1. Knowledge Profile Estimation: Combines raw LSTM probabilities with Bayesian empirical performance:</w:t>
        <w:br/>
        <w:t xml:space="preserve">   Mastery = (1 - w) * P_model + w * Accuracy_empirical, clipped to [0.05, 0.99]. Categorized as Novice (&lt;45%), Intermediate (45-70%), Proficient (70-85%), and Mastered (&gt;=85%).</w:t>
        <w:br/>
        <w:br/>
        <w:t>2. Weakness &amp; Prerequisite Blocker Detection: Scans prerequisite directed acyclic graphs (DAG). If a student fails Dynamic Programming and prerequisite concepts (Recursion or Arrays) have &lt;50% mastery, the engine diagnoses a Prerequisite Bottleneck and prescribes remedial stepping stones.</w:t>
        <w:br/>
        <w:br/>
        <w:t>3. Ebbinghaus Memory Decay Modeling: Implements Hermann Ebbinghaus's forgetting curve:</w:t>
        <w:br/>
        <w:t xml:space="preserve">   R(delta_t) = exp( - delta_t / S ), where Memory Stability S = S_0 * (1 + alpha * m) * (1 + beta * sqrt(n))</w:t>
        <w:br/>
        <w:t>If retention R drops below 65%, a High-Risk Forgetting Alert is issued with a scheduled review queue.</w:t>
        <w:br/>
        <w:br/>
        <w:t>4. Behavioral Learning Style Detection: Analyzes time-efficiency ratio and attempt tenacity to classify students into: Analytical &amp; Methodical, Fast Intuitive, Trial-and-Error Explorer, or Persistent Striver.</w:t>
      </w:r>
    </w:p>
    <w:p>
      <w:pPr>
        <w:pStyle w:val="Heading1"/>
      </w:pPr>
      <w:r>
        <w:rPr>
          <w:color w:val="1E3A8A"/>
        </w:rPr>
        <w:t>6. Dynamic Dataset Updating &amp; Continual Learning</w:t>
      </w:r>
    </w:p>
    <w:p>
      <w:r>
        <w:t>Unlike static models, CogniPath AI updates dynamically:</w:t>
        <w:br/>
        <w:t>• Automatic Dataset Sync: Every problem solved in CLI or Web UI is immediately appended into data/psv/cognipath_cs_dkt.psv.</w:t>
        <w:br/>
        <w:t>• Pre-Training Deduplication: sync_student_sessions_to_psv() verifies entries to prevent duplicate rows.</w:t>
        <w:br/>
        <w:t>• Incremental Fine-Tuning: Running 'python train.py --incremental --epochs 5' (or Option [7] in CLI) loads existing weights and fine-tunes parameters at half the learning rate using Cosine Annealing, avoiding catastrophic forgetting.</w:t>
      </w:r>
    </w:p>
    <w:p>
      <w:pPr>
        <w:pStyle w:val="Heading1"/>
      </w:pPr>
      <w:r>
        <w:rPr>
          <w:color w:val="1E3A8A"/>
        </w:rPr>
        <w:t>7. Step-by-Step Live Demonstration Script</w:t>
      </w:r>
    </w:p>
    <w:p>
      <w:r>
        <w:t>Follow this exact sequence in the terminal during the review:</w:t>
        <w:br/>
        <w:t>Step 1: Launch Interactive Runner: 'python demo_interactive.py'</w:t>
        <w:br/>
        <w:t>Step 2: Demonstrate Student A vs Student B (The 70% Paradox):</w:t>
        <w:br/>
        <w:t xml:space="preserve">  - Select [5] (Student A): Shows 70% overall, but Arrays=90%, Recursion=40%. Model prescribes Recursion.</w:t>
        <w:br/>
        <w:t xml:space="preserve">  - Select [6] (Student B): Shows 70% overall, but Arrays=50%, Recursion=90%. Model prescribes Arrays.</w:t>
        <w:br/>
        <w:t xml:space="preserve">  - Say to Professor: 'Sir, this demonstrates that aggregate scoring fails, whereas our DKT neural network tailors individualized paths.'</w:t>
        <w:br/>
        <w:t>Step 3: Multi-Topic Diagnostic Assessment: Select [1] to solve 2 questions live and show real-time LSTM state updating.</w:t>
        <w:br/>
        <w:t>Step 4: Ebbinghaus Forgetting: Select [4], advance 25 days, and show the Spaced Repetition Revision Queue activate.</w:t>
        <w:br/>
        <w:t>Step 5: Dynamic Retraining: Select [7] to show live fine-tuning on newly appended interactions.</w:t>
        <w:br/>
        <w:t>Step 6: Metric Evaluation: Run 'python evaluate.py' in a second terminal to display AUC, F1, and skill breakdowns.</w:t>
      </w:r>
    </w:p>
    <w:p>
      <w:pPr>
        <w:pStyle w:val="Heading1"/>
      </w:pPr>
      <w:r>
        <w:rPr>
          <w:color w:val="1E3A8A"/>
        </w:rPr>
        <w:t>8. Top 15 Professor Cross-Questions &amp; Model Defense</w:t>
      </w:r>
    </w:p>
    <w:p>
      <w:r>
        <w:rPr>
          <w:rFonts w:ascii="Arial" w:hAnsi="Arial"/>
          <w:b/>
          <w:color w:val="1E3A8A"/>
          <w:sz w:val="20"/>
        </w:rPr>
        <w:t>Q1: Why an LSTM instead of an MLP?</w:t>
      </w:r>
    </w:p>
    <w:p>
      <w:r>
        <w:rPr>
          <w:rFonts w:ascii="Arial" w:hAnsi="Arial"/>
          <w:color w:val="1F2937"/>
          <w:sz w:val="19"/>
        </w:rPr>
        <w:t>An MLP assumes problem attempts are independent and identically distributed (i.i.d.). Human learning is inherently sequential—solving ability at step t depends on past practice history. LSTMs maintain a persistent hidden state vector h_t encoding cognitive memory across variable-length trajectories.</w:t>
      </w:r>
    </w:p>
    <w:p>
      <w:r>
        <w:rPr>
          <w:rFonts w:ascii="Arial" w:hAnsi="Arial"/>
          <w:b/>
          <w:color w:val="1E3A8A"/>
          <w:sz w:val="20"/>
        </w:rPr>
        <w:t>Q2: How does DKT surpass Bayesian Knowledge Tracing (BKT)?</w:t>
      </w:r>
    </w:p>
    <w:p>
      <w:r>
        <w:rPr>
          <w:rFonts w:ascii="Arial" w:hAnsi="Arial"/>
          <w:color w:val="1F2937"/>
          <w:sz w:val="19"/>
        </w:rPr>
        <w:t>BKT uses isolated 2-state HMMs with 4 parameters per skill. It cannot model prerequisite dependencies, cross-topic knowledge transfer, or continuous time/attempt telemetry. DKT maps skills into a shared continuous embedding space R^32, capturing complex inter-skill relationships.</w:t>
      </w:r>
    </w:p>
    <w:p>
      <w:r>
        <w:rPr>
          <w:rFonts w:ascii="Arial" w:hAnsi="Arial"/>
          <w:b/>
          <w:color w:val="1E3A8A"/>
          <w:sz w:val="20"/>
        </w:rPr>
        <w:t>Q3: What loss function did you use and why?</w:t>
      </w:r>
    </w:p>
    <w:p>
      <w:r>
        <w:rPr>
          <w:rFonts w:ascii="Arial" w:hAnsi="Arial"/>
          <w:color w:val="1F2937"/>
          <w:sz w:val="19"/>
        </w:rPr>
        <w:t>Masked Binary Cross-Entropy with Logits (BCEWithLogitsLoss). Binary cross-entropy is the canonical loss for next-item pass/fail predictions. Masking is essential because student sequences have variable lengths padded to batch maximum length; unmasked loss would backpropagate padding artifacts.</w:t>
      </w:r>
    </w:p>
    <w:p>
      <w:r>
        <w:rPr>
          <w:rFonts w:ascii="Arial" w:hAnsi="Arial"/>
          <w:b/>
          <w:color w:val="1E3A8A"/>
          <w:sz w:val="20"/>
        </w:rPr>
        <w:t>Q4: Why evaluate with ROC-AUC rather than pure Accuracy?</w:t>
      </w:r>
    </w:p>
    <w:p>
      <w:r>
        <w:rPr>
          <w:rFonts w:ascii="Arial" w:hAnsi="Arial"/>
          <w:color w:val="1F2937"/>
          <w:sz w:val="19"/>
        </w:rPr>
        <w:t>Educational interaction logs have significant class imbalance (students often achieve 65-75% accuracy). A naive classifier predicting all 1s gets 70% accuracy with zero predictive intelligence. ROC-AUC measures ranking discrimination across all thresholds and is the standard metric in EDM literature.</w:t>
      </w:r>
    </w:p>
    <w:p>
      <w:r>
        <w:rPr>
          <w:rFonts w:ascii="Arial" w:hAnsi="Arial"/>
          <w:b/>
          <w:color w:val="1E3A8A"/>
          <w:sz w:val="20"/>
        </w:rPr>
        <w:t>Q5: How do you handle the Cold-Start problem for new users?</w:t>
      </w:r>
    </w:p>
    <w:p>
      <w:r>
        <w:rPr>
          <w:rFonts w:ascii="Arial" w:hAnsi="Arial"/>
          <w:color w:val="1F2937"/>
          <w:sz w:val="19"/>
        </w:rPr>
        <w:t>Through our 2-stage mechanism: (1) An empirical diagnostic prior (0.35 baseline), followed immediately by (2) Our Multi-Topic Diagnostic Assessment testing 1 question per core concept, priming the LSTM hidden state h_0 within 2 minutes.</w:t>
      </w:r>
    </w:p>
    <w:p>
      <w:r>
        <w:rPr>
          <w:rFonts w:ascii="Arial" w:hAnsi="Arial"/>
          <w:b/>
          <w:color w:val="1E3A8A"/>
          <w:sz w:val="20"/>
        </w:rPr>
        <w:t>Q6: How did you prevent Data Leakage in sequential training?</w:t>
      </w:r>
    </w:p>
    <w:p>
      <w:r>
        <w:rPr>
          <w:rFonts w:ascii="Arial" w:hAnsi="Arial"/>
          <w:color w:val="1F2937"/>
          <w:sz w:val="19"/>
        </w:rPr>
        <w:t>We enforced strict causal temporal alignment: input x_0..x_{L-2} predicts target y_1..y_{L-1}. Furthermore, train/validation/test splits were partitioned by Student ID, ensuring no student interaction sequence appeared across splits.</w:t>
      </w:r>
    </w:p>
    <w:p>
      <w:r>
        <w:rPr>
          <w:rFonts w:ascii="Arial" w:hAnsi="Arial"/>
          <w:b/>
          <w:color w:val="1E3A8A"/>
          <w:sz w:val="20"/>
        </w:rPr>
        <w:t>Q7: Why not use a Transformer (like SAINT or SAKT)?</w:t>
      </w:r>
    </w:p>
    <w:p>
      <w:r>
        <w:rPr>
          <w:rFonts w:ascii="Arial" w:hAnsi="Arial"/>
          <w:color w:val="1F2937"/>
          <w:sz w:val="19"/>
        </w:rPr>
        <w:t>Transformers have quadratic complexity O(L^2) with sequence length and require massive pre-training corpora. For an interactive real-time system updating on every keystroke/submission with CPU compatibility, LSTMs offer linear O(L) complexity, 294 KB model weights, and near-zero latency.</w:t>
      </w:r>
    </w:p>
    <w:p>
      <w:r>
        <w:rPr>
          <w:rFonts w:ascii="Arial" w:hAnsi="Arial"/>
          <w:b/>
          <w:color w:val="1E3A8A"/>
          <w:sz w:val="20"/>
        </w:rPr>
        <w:t>Q8: Are the datasets real or synthetic?</w:t>
      </w:r>
    </w:p>
    <w:p>
      <w:r>
        <w:rPr>
          <w:rFonts w:ascii="Arial" w:hAnsi="Arial"/>
          <w:color w:val="1F2937"/>
          <w:sz w:val="19"/>
        </w:rPr>
        <w:t>All datasets are 100% real and formatted in data/psv/: ASSISTments 2009-2010 (525k interactions, 123 skills), CogniPath CS-DKT (1,420 interactions, 6 CS skills), EdNet, KDD Cup, and Statics2011. Synthetic generators were completely removed.</w:t>
      </w:r>
    </w:p>
    <w:p>
      <w:r>
        <w:rPr>
          <w:rFonts w:ascii="Arial" w:hAnsi="Arial"/>
          <w:b/>
          <w:color w:val="1E3A8A"/>
          <w:sz w:val="20"/>
        </w:rPr>
        <w:t>Q9: Explain the continuous telemetry encoding formula.</w:t>
      </w:r>
    </w:p>
    <w:p>
      <w:r>
        <w:rPr>
          <w:rFonts w:ascii="Arial" w:hAnsi="Arial"/>
          <w:color w:val="1F2937"/>
          <w:sz w:val="19"/>
        </w:rPr>
        <w:t>Raw times (15-1200s) and attempts (1-10) cause exploding gradients. We apply logarithmic scaling: v_t = [log(1 + time/60), log(1 + attempts), log(1 + days)], compressing outliers while maintaining linear sensitivity, projected via SiLU into R^16.</w:t>
      </w:r>
    </w:p>
    <w:p>
      <w:r>
        <w:rPr>
          <w:rFonts w:ascii="Arial" w:hAnsi="Arial"/>
          <w:b/>
          <w:color w:val="1E3A8A"/>
          <w:sz w:val="20"/>
        </w:rPr>
        <w:t>Q10: How is Ebbinghaus forgetting combined with deep learning?</w:t>
      </w:r>
    </w:p>
    <w:p>
      <w:r>
        <w:rPr>
          <w:rFonts w:ascii="Arial" w:hAnsi="Arial"/>
          <w:color w:val="1F2937"/>
          <w:sz w:val="19"/>
        </w:rPr>
        <w:t>The LSTM predicts skill mastery at the moment of practice. Memory decay over elapsed time is modeled via R(delta_t) = exp(-delta_t / S). Stability S expands with estimated mastery and practice count. If R drops below 65%, a High-Risk alert triggers in the revision queue.</w:t>
      </w:r>
    </w:p>
    <w:p>
      <w:r>
        <w:rPr>
          <w:rFonts w:ascii="Arial" w:hAnsi="Arial"/>
          <w:b/>
          <w:color w:val="1E3A8A"/>
          <w:sz w:val="20"/>
        </w:rPr>
        <w:t>Q11: What is Zone of Proximal Development (ZPD) in recommendation?</w:t>
      </w:r>
    </w:p>
    <w:p>
      <w:r>
        <w:rPr>
          <w:rFonts w:ascii="Arial" w:hAnsi="Arial"/>
          <w:color w:val="1F2937"/>
          <w:sz w:val="19"/>
        </w:rPr>
        <w:t>Vygotsky's ZPD defines the optimal learning boundary. A topic qualifies for ZPD if all its prerequisite concepts have &gt;=55% mastery, while the target topic is &lt;75%. This guarantees students are neither bored by mastered drills nor overwhelmed by advanced ungrounded concepts.</w:t>
      </w:r>
    </w:p>
    <w:p>
      <w:r>
        <w:rPr>
          <w:rFonts w:ascii="Arial" w:hAnsi="Arial"/>
          <w:b/>
          <w:color w:val="1E3A8A"/>
          <w:sz w:val="20"/>
        </w:rPr>
        <w:t>Q12: How do you detect prerequisite bottlenecks?</w:t>
      </w:r>
    </w:p>
    <w:p>
      <w:r>
        <w:rPr>
          <w:rFonts w:ascii="Arial" w:hAnsi="Arial"/>
          <w:color w:val="1F2937"/>
          <w:sz w:val="19"/>
        </w:rPr>
        <w:t>We maintain a directed acyclic graph (DAG) in dsa_taxonomy.json: Arrays -&gt; Strings -&gt; Recursion -&gt; Trees -&gt; Graphs, and (Arrays+Recursion) -&gt; DP. If a student struggles on DP, the engine checks whether Recursion has &lt;50% mastery and prescribes remedial stepping stones.</w:t>
      </w:r>
    </w:p>
    <w:p>
      <w:r>
        <w:rPr>
          <w:rFonts w:ascii="Arial" w:hAnsi="Arial"/>
          <w:b/>
          <w:color w:val="1E3A8A"/>
          <w:sz w:val="20"/>
        </w:rPr>
        <w:t>Q13: How does Continual Learning / Dynamic Retraining work?</w:t>
      </w:r>
    </w:p>
    <w:p>
      <w:r>
        <w:rPr>
          <w:rFonts w:ascii="Arial" w:hAnsi="Arial"/>
          <w:color w:val="1F2937"/>
          <w:sz w:val="19"/>
        </w:rPr>
        <w:t>Via '--incremental' fine-tuning in train.py. When triggered, the engine dynamically syncs newly logged sessions to the PSV dataset, reloads checkpoint weights/dkt_lstm.pt, and trains for 3-5 epochs at a reduced learning rate with Cosine Annealing, preventing catastrophic forgetting.</w:t>
      </w:r>
    </w:p>
    <w:p>
      <w:r>
        <w:rPr>
          <w:rFonts w:ascii="Arial" w:hAnsi="Arial"/>
          <w:b/>
          <w:color w:val="1E3A8A"/>
          <w:sz w:val="20"/>
        </w:rPr>
        <w:t>Q14: What if a student practices outside the recommended sequence?</w:t>
      </w:r>
    </w:p>
    <w:p>
      <w:r>
        <w:rPr>
          <w:rFonts w:ascii="Arial" w:hAnsi="Arial"/>
          <w:color w:val="1F2937"/>
          <w:sz w:val="19"/>
        </w:rPr>
        <w:t>The system is non-restrictive. Students can solve any question by ID. When submitted, the LSTM hidden state updates recurrently across all concepts, dynamically adjusting the global profile regardless of the path chosen.</w:t>
      </w:r>
    </w:p>
    <w:p>
      <w:r>
        <w:rPr>
          <w:rFonts w:ascii="Arial" w:hAnsi="Arial"/>
          <w:b/>
          <w:color w:val="1E3A8A"/>
          <w:sz w:val="20"/>
        </w:rPr>
        <w:t>Q15: What are future improvements?</w:t>
      </w:r>
    </w:p>
    <w:p>
      <w:r>
        <w:rPr>
          <w:rFonts w:ascii="Arial" w:hAnsi="Arial"/>
          <w:color w:val="1F2937"/>
          <w:sz w:val="19"/>
        </w:rPr>
        <w:t>1. Code AST Analysis: Ingesting Python/Java code through CodeBERT to analyze Abstract Syntax Trees. 2. Generative Tutoring: Connecting our DKT predictive model with an LLM (Gemini) to generate personalized hints tailored to the detected learning style.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