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B045" w14:textId="0AFA470C" w:rsidR="00B77704" w:rsidRDefault="00000000" w:rsidP="00B77704">
      <w:pPr>
        <w:pStyle w:val="Title"/>
      </w:pPr>
      <w:r>
        <w:t xml:space="preserve">Digital Twin for Smart Factory Energy </w:t>
      </w:r>
      <w:proofErr w:type="spellStart"/>
      <w:r w:rsidR="00B77704">
        <w:t>Optimisation</w:t>
      </w:r>
      <w:proofErr w:type="spellEnd"/>
    </w:p>
    <w:p w14:paraId="759C3560" w14:textId="17286238" w:rsidR="00B77704" w:rsidRPr="00B77704" w:rsidRDefault="00B77704" w:rsidP="00B77704">
      <w:pPr>
        <w:jc w:val="right"/>
      </w:pPr>
      <w:r>
        <w:t>Chandana M Rao</w:t>
      </w:r>
      <w:r w:rsidRPr="00B77704">
        <w:rPr>
          <w:vertAlign w:val="superscript"/>
        </w:rPr>
        <w:t>1</w:t>
      </w:r>
      <w:r>
        <w:t xml:space="preserve"> Chirag B A</w:t>
      </w:r>
      <w:r w:rsidRPr="00B77704">
        <w:rPr>
          <w:vertAlign w:val="superscript"/>
        </w:rPr>
        <w:t>2</w:t>
      </w:r>
      <w:r>
        <w:t xml:space="preserve"> Chaithra S</w:t>
      </w:r>
      <w:r w:rsidRPr="00B77704">
        <w:rPr>
          <w:vertAlign w:val="superscript"/>
        </w:rPr>
        <w:t>3</w:t>
      </w:r>
    </w:p>
    <w:p w14:paraId="76077F46" w14:textId="5051CE2F" w:rsidR="00B77704" w:rsidRPr="00B77704" w:rsidRDefault="00B77704" w:rsidP="00B77704">
      <w:pPr>
        <w:pStyle w:val="Heading1"/>
        <w:rPr>
          <w:lang w:val="en-IN"/>
        </w:rPr>
      </w:pPr>
      <w:r w:rsidRPr="00B77704">
        <w:rPr>
          <w:lang w:val="en-IN"/>
        </w:rPr>
        <w:lastRenderedPageBreak/>
        <w:t>Abstract</w:t>
      </w:r>
    </w:p>
    <w:p w14:paraId="18AA9180" w14:textId="02B1909D" w:rsidR="00B77704" w:rsidRPr="00B77704" w:rsidRDefault="00B77704" w:rsidP="00B77704">
      <w:pPr>
        <w:pStyle w:val="Heading1"/>
        <w:rPr>
          <w:rFonts w:asciiTheme="minorHAnsi" w:hAnsiTheme="minorHAnsi"/>
          <w:b w:val="0"/>
          <w:bCs w:val="0"/>
          <w:color w:val="auto"/>
          <w:sz w:val="22"/>
          <w:szCs w:val="22"/>
          <w:lang w:val="en-IN"/>
        </w:rPr>
      </w:pPr>
      <w:r w:rsidRPr="00B77704">
        <w:rPr>
          <w:rFonts w:asciiTheme="minorHAnsi" w:hAnsiTheme="minorHAnsi"/>
          <w:b w:val="0"/>
          <w:bCs w:val="0"/>
          <w:color w:val="auto"/>
          <w:sz w:val="22"/>
          <w:szCs w:val="22"/>
          <w:lang w:val="en-IN"/>
        </w:rPr>
        <w:t xml:space="preserve">The increasing demand for energy efficiency in smart manufacturing has spurred the adoption of digital twin (DT) technologies that integrate physical systems with virtual models for real-time monitoring, prediction, and </w:t>
      </w:r>
      <w:r w:rsidR="006A7072">
        <w:rPr>
          <w:rFonts w:asciiTheme="minorHAnsi" w:hAnsiTheme="minorHAnsi"/>
          <w:b w:val="0"/>
          <w:bCs w:val="0"/>
          <w:color w:val="auto"/>
          <w:sz w:val="22"/>
          <w:szCs w:val="22"/>
          <w:lang w:val="en-IN"/>
        </w:rPr>
        <w:t>optimisation</w:t>
      </w:r>
      <w:r w:rsidRPr="00B77704">
        <w:rPr>
          <w:rFonts w:asciiTheme="minorHAnsi" w:hAnsiTheme="minorHAnsi"/>
          <w:b w:val="0"/>
          <w:bCs w:val="0"/>
          <w:color w:val="auto"/>
          <w:sz w:val="22"/>
          <w:szCs w:val="22"/>
          <w:lang w:val="en-IN"/>
        </w:rPr>
        <w:t xml:space="preserve">. </w:t>
      </w:r>
      <w:r w:rsidR="006A7072" w:rsidRPr="006A7072">
        <w:rPr>
          <w:rFonts w:asciiTheme="minorHAnsi" w:hAnsiTheme="minorHAnsi"/>
          <w:b w:val="0"/>
          <w:bCs w:val="0"/>
          <w:color w:val="auto"/>
          <w:sz w:val="22"/>
          <w:szCs w:val="22"/>
        </w:rPr>
        <w:t xml:space="preserve">This paper presents a framework for an energy </w:t>
      </w:r>
      <w:proofErr w:type="spellStart"/>
      <w:r w:rsidR="006A7072">
        <w:rPr>
          <w:rFonts w:asciiTheme="minorHAnsi" w:hAnsiTheme="minorHAnsi"/>
          <w:b w:val="0"/>
          <w:bCs w:val="0"/>
          <w:color w:val="auto"/>
          <w:sz w:val="22"/>
          <w:szCs w:val="22"/>
        </w:rPr>
        <w:t>optimisation</w:t>
      </w:r>
      <w:proofErr w:type="spellEnd"/>
      <w:r w:rsidR="006A7072" w:rsidRPr="006A7072">
        <w:rPr>
          <w:rFonts w:asciiTheme="minorHAnsi" w:hAnsiTheme="minorHAnsi"/>
          <w:b w:val="0"/>
          <w:bCs w:val="0"/>
          <w:color w:val="auto"/>
          <w:sz w:val="22"/>
          <w:szCs w:val="22"/>
        </w:rPr>
        <w:t xml:space="preserve"> digital twin, implemented using a hybrid agent-based and discrete-event simulation model in </w:t>
      </w:r>
      <w:proofErr w:type="spellStart"/>
      <w:r w:rsidR="006A7072" w:rsidRPr="006A7072">
        <w:rPr>
          <w:rFonts w:asciiTheme="minorHAnsi" w:hAnsiTheme="minorHAnsi"/>
          <w:b w:val="0"/>
          <w:bCs w:val="0"/>
          <w:color w:val="auto"/>
          <w:sz w:val="22"/>
          <w:szCs w:val="22"/>
        </w:rPr>
        <w:t>AnyLogic</w:t>
      </w:r>
      <w:proofErr w:type="spellEnd"/>
      <w:r w:rsidR="006A7072" w:rsidRPr="006A7072">
        <w:rPr>
          <w:rFonts w:asciiTheme="minorHAnsi" w:hAnsiTheme="minorHAnsi"/>
          <w:b w:val="0"/>
          <w:bCs w:val="0"/>
          <w:color w:val="auto"/>
          <w:sz w:val="22"/>
          <w:szCs w:val="22"/>
        </w:rPr>
        <w:t>. The twin integrates real-time energy supply and demand models to control factory operations</w:t>
      </w:r>
      <w:r w:rsidR="006A7072">
        <w:rPr>
          <w:rFonts w:asciiTheme="minorHAnsi" w:hAnsiTheme="minorHAnsi"/>
          <w:b w:val="0"/>
          <w:bCs w:val="0"/>
          <w:color w:val="auto"/>
          <w:sz w:val="22"/>
          <w:szCs w:val="22"/>
        </w:rPr>
        <w:t xml:space="preserve">. </w:t>
      </w:r>
      <w:r w:rsidRPr="00B77704">
        <w:rPr>
          <w:rFonts w:asciiTheme="minorHAnsi" w:hAnsiTheme="minorHAnsi"/>
          <w:b w:val="0"/>
          <w:bCs w:val="0"/>
          <w:color w:val="auto"/>
          <w:sz w:val="22"/>
          <w:szCs w:val="22"/>
          <w:lang w:val="en-IN"/>
        </w:rPr>
        <w:t xml:space="preserve">The proposed approach combines IoT-enabled data acquisition, predictive analytics, and reinforcement learning-based </w:t>
      </w:r>
      <w:r>
        <w:rPr>
          <w:rFonts w:asciiTheme="minorHAnsi" w:hAnsiTheme="minorHAnsi"/>
          <w:b w:val="0"/>
          <w:bCs w:val="0"/>
          <w:color w:val="auto"/>
          <w:sz w:val="22"/>
          <w:szCs w:val="22"/>
          <w:lang w:val="en-IN"/>
        </w:rPr>
        <w:t>optimisation</w:t>
      </w:r>
      <w:r w:rsidRPr="00B77704">
        <w:rPr>
          <w:rFonts w:asciiTheme="minorHAnsi" w:hAnsiTheme="minorHAnsi"/>
          <w:b w:val="0"/>
          <w:bCs w:val="0"/>
          <w:color w:val="auto"/>
          <w:sz w:val="22"/>
          <w:szCs w:val="22"/>
          <w:lang w:val="en-IN"/>
        </w:rPr>
        <w:t xml:space="preserve"> to achieve measurable improvements in energy efficiency, cost reduction, and environmental performance. Case studies and simulations demonstrate a 15–20% reduction in energy usage, a 16–18% cost reduction, and a 10–15% decrease in CO₂ emissions. The results indicate that digital twins offer a scalable and flexible solution for real-time energy </w:t>
      </w:r>
      <w:r>
        <w:rPr>
          <w:rFonts w:asciiTheme="minorHAnsi" w:hAnsiTheme="minorHAnsi"/>
          <w:b w:val="0"/>
          <w:bCs w:val="0"/>
          <w:color w:val="auto"/>
          <w:sz w:val="22"/>
          <w:szCs w:val="22"/>
          <w:lang w:val="en-IN"/>
        </w:rPr>
        <w:t>optimisation</w:t>
      </w:r>
      <w:r w:rsidRPr="00B77704">
        <w:rPr>
          <w:rFonts w:asciiTheme="minorHAnsi" w:hAnsiTheme="minorHAnsi"/>
          <w:b w:val="0"/>
          <w:bCs w:val="0"/>
          <w:color w:val="auto"/>
          <w:sz w:val="22"/>
          <w:szCs w:val="22"/>
          <w:lang w:val="en-IN"/>
        </w:rPr>
        <w:t xml:space="preserve"> while aligning with industry standards such as IEC 62832, OPC UA, and ISO 50001.</w:t>
      </w:r>
    </w:p>
    <w:p w14:paraId="20B38CE4" w14:textId="77777777" w:rsidR="00B77704" w:rsidRDefault="00B77704">
      <w:pPr>
        <w:pStyle w:val="Heading1"/>
        <w:rPr>
          <w:lang w:val="en-IN"/>
        </w:rPr>
      </w:pPr>
      <w:r w:rsidRPr="00B77704">
        <w:rPr>
          <w:lang w:val="en-IN"/>
        </w:rPr>
        <w:t>I. Introduction</w:t>
      </w:r>
    </w:p>
    <w:p w14:paraId="1E4911E1" w14:textId="7FD81BE8" w:rsidR="00B77704" w:rsidRDefault="00B77704">
      <w:pPr>
        <w:pStyle w:val="Heading1"/>
        <w:rPr>
          <w:rFonts w:asciiTheme="minorHAnsi" w:hAnsiTheme="minorHAnsi"/>
          <w:b w:val="0"/>
          <w:bCs w:val="0"/>
          <w:color w:val="auto"/>
          <w:sz w:val="22"/>
          <w:szCs w:val="22"/>
          <w:lang w:val="en-IN"/>
        </w:rPr>
      </w:pPr>
      <w:r w:rsidRPr="00B77704">
        <w:rPr>
          <w:rFonts w:asciiTheme="minorHAnsi" w:hAnsiTheme="minorHAnsi"/>
          <w:b w:val="0"/>
          <w:bCs w:val="0"/>
          <w:color w:val="auto"/>
          <w:sz w:val="22"/>
          <w:szCs w:val="22"/>
          <w:lang w:val="en-IN"/>
        </w:rPr>
        <w:t>The rise of Industry 4.0 has accelerated the transformation of manufacturing facilities into smart factories, where cyber-physical integration and data-driven decision-making play a pivotal role. Among these advancements, the digital twin has emerged as a powerful tool for real-time synchronization between physical systems and virtual models. By enabling predictive simulation, what-if scenario testing, and closed-loop optimization, digital twins enhance operational efficiency, reliability, and sustainability. Energy optimization, in particular, has become a critical application area, given the growing emphasis on cost savings, carbon reduction, and compliance with environmental regulations. Traditional energy management systems often lack the real-time adaptability and predictive intelligence required to address dynamic factory environments. Digital twins bridge this gap by integrating IoT sensors, interoperable communication standards, machine learning models, and optimization algorithms into a unified platform. This paper proposes a digital twin framework tailored to smart factory energy optimization, evaluates its effectiveness through simulation and validation, and situates the findings within the broader literature on energy-efficient manufacturing.</w:t>
      </w:r>
    </w:p>
    <w:p w14:paraId="24085EBA" w14:textId="77777777" w:rsidR="00B77704" w:rsidRPr="00B77704" w:rsidRDefault="00B77704" w:rsidP="00B77704">
      <w:pPr>
        <w:rPr>
          <w:lang w:val="en-IN"/>
        </w:rPr>
      </w:pPr>
    </w:p>
    <w:p w14:paraId="57C32E26" w14:textId="359B34E5" w:rsidR="00F4731D" w:rsidRDefault="00AE1093">
      <w:pPr>
        <w:pStyle w:val="Heading1"/>
      </w:pPr>
      <w:r>
        <w:t>II. Related Work</w:t>
      </w:r>
    </w:p>
    <w:p w14:paraId="02724B60" w14:textId="1A8332F6" w:rsidR="00AE1093" w:rsidRPr="00AE1093" w:rsidRDefault="00AE1093" w:rsidP="00AE1093">
      <w:pPr>
        <w:rPr>
          <w:lang w:val="en-IN"/>
        </w:rPr>
      </w:pPr>
      <w:r w:rsidRPr="00AE1093">
        <w:rPr>
          <w:lang w:val="en-IN"/>
        </w:rPr>
        <w:t xml:space="preserve">Digital twins (DTs) evolved from the systems-engineering vision of a high-fidelity virtual counterpart that stays synchronized to its physical asset through the full lifecycle, so that design intent, operating state, and decision support are all connected in a closed loop. Grieves and Vickers’ formulation remains foundational: they argue the DT’s value is in </w:t>
      </w:r>
      <w:r w:rsidRPr="00AE1093">
        <w:rPr>
          <w:lang w:val="en-IN"/>
        </w:rPr>
        <w:lastRenderedPageBreak/>
        <w:t xml:space="preserve">mitigating “unpredictable, undesirable emergent </w:t>
      </w:r>
      <w:proofErr w:type="spellStart"/>
      <w:r w:rsidRPr="00AE1093">
        <w:rPr>
          <w:lang w:val="en-IN"/>
        </w:rPr>
        <w:t>behavior</w:t>
      </w:r>
      <w:proofErr w:type="spellEnd"/>
      <w:r w:rsidRPr="00AE1093">
        <w:rPr>
          <w:lang w:val="en-IN"/>
        </w:rPr>
        <w:t>” by continuously reconciling models with real plant data and exposing decision levers that can be tested in silico before being applied in production. In manufacturing energy contexts, this translates into running “what-if” scenarios for set-points, schedules, and maintenance policies to reduce kWh without compromising throughput or quality. Their lifecycle framing is why today’s factory DTs typically blend process physics, learned surrogates, and optimization inside one service-oriented architecture.</w:t>
      </w:r>
      <w:sdt>
        <w:sdtPr>
          <w:rPr>
            <w:lang w:val="en-IN"/>
          </w:rPr>
          <w:id w:val="-356741111"/>
          <w:citation/>
        </w:sdtPr>
        <w:sdtContent>
          <w:r w:rsidR="00937EB1">
            <w:rPr>
              <w:lang w:val="en-IN"/>
            </w:rPr>
            <w:fldChar w:fldCharType="begin"/>
          </w:r>
          <w:r w:rsidR="00937EB1">
            <w:rPr>
              <w:lang w:val="en-IN"/>
            </w:rPr>
            <w:instrText xml:space="preserve"> CITATION Gri17 \l 16393 </w:instrText>
          </w:r>
          <w:r w:rsidR="00937EB1">
            <w:rPr>
              <w:lang w:val="en-IN"/>
            </w:rPr>
            <w:fldChar w:fldCharType="separate"/>
          </w:r>
          <w:r w:rsidR="00532361">
            <w:rPr>
              <w:noProof/>
              <w:lang w:val="en-IN"/>
            </w:rPr>
            <w:t xml:space="preserve"> </w:t>
          </w:r>
          <w:r w:rsidR="00532361" w:rsidRPr="00532361">
            <w:rPr>
              <w:noProof/>
              <w:lang w:val="en-IN"/>
            </w:rPr>
            <w:t>[1]</w:t>
          </w:r>
          <w:r w:rsidR="00937EB1">
            <w:rPr>
              <w:lang w:val="en-IN"/>
            </w:rPr>
            <w:fldChar w:fldCharType="end"/>
          </w:r>
        </w:sdtContent>
      </w:sdt>
      <w:r w:rsidRPr="00AE1093">
        <w:rPr>
          <w:lang w:val="en-IN"/>
        </w:rPr>
        <w:t xml:space="preserve"> </w:t>
      </w:r>
    </w:p>
    <w:p w14:paraId="75C24CE2" w14:textId="389A0A4D" w:rsidR="00AE1093" w:rsidRPr="00AE1093" w:rsidRDefault="00AE1093" w:rsidP="00AE1093">
      <w:pPr>
        <w:rPr>
          <w:lang w:val="en-IN"/>
        </w:rPr>
      </w:pPr>
      <w:r w:rsidRPr="00AE1093">
        <w:rPr>
          <w:lang w:val="en-IN"/>
        </w:rPr>
        <w:t xml:space="preserve">A frequent confusion in the literature is whether a DT is just a rebrand of cyber-physical systems (CPS). Tao et al. clarify that while both rely on cyber-physical integration, CPS emphasizes embedded control and connectivity, whereas DTs explicitly prioritize the bi-directional mapping between physical and virtual with lifecycle coverage and service interfaces. For energy optimization, this distinction matters: the “twin” is not only the conduit for data but also the place where forecasting, optimization, and policy evaluation live as reusable services that can be versioned, validated, and rolled out across sites. This service-centric lens underpins a modular stack: standards-based connectivity (e.g., OPC UA), asset semantics (IEC 62832 Digital Factory), twin-level analytics (forecasting, MPC, DRL), and enterprise energy management (ISO 50001). Figures 1 and 2 (linked above) visualize this pipeline and the standards layers that support it. </w:t>
      </w:r>
      <w:sdt>
        <w:sdtPr>
          <w:rPr>
            <w:lang w:val="en-IN"/>
          </w:rPr>
          <w:id w:val="2008317380"/>
          <w:citation/>
        </w:sdtPr>
        <w:sdtContent>
          <w:r w:rsidR="00937EB1">
            <w:rPr>
              <w:lang w:val="en-IN"/>
            </w:rPr>
            <w:fldChar w:fldCharType="begin"/>
          </w:r>
          <w:r w:rsidR="00B77704">
            <w:rPr>
              <w:lang w:val="en-IN"/>
            </w:rPr>
            <w:instrText xml:space="preserve">CITATION FTa19 \l 16393 </w:instrText>
          </w:r>
          <w:r w:rsidR="00937EB1">
            <w:rPr>
              <w:lang w:val="en-IN"/>
            </w:rPr>
            <w:fldChar w:fldCharType="separate"/>
          </w:r>
          <w:r w:rsidR="00B77704" w:rsidRPr="00B77704">
            <w:rPr>
              <w:noProof/>
              <w:lang w:val="en-IN"/>
            </w:rPr>
            <w:t>[2]</w:t>
          </w:r>
          <w:r w:rsidR="00937EB1">
            <w:rPr>
              <w:lang w:val="en-IN"/>
            </w:rPr>
            <w:fldChar w:fldCharType="end"/>
          </w:r>
        </w:sdtContent>
      </w:sdt>
      <w:sdt>
        <w:sdtPr>
          <w:rPr>
            <w:lang w:val="en-IN"/>
          </w:rPr>
          <w:id w:val="-1055160245"/>
          <w:citation/>
        </w:sdtPr>
        <w:sdtContent>
          <w:r w:rsidR="00861D65">
            <w:rPr>
              <w:lang w:val="en-IN"/>
            </w:rPr>
            <w:fldChar w:fldCharType="begin"/>
          </w:r>
          <w:r w:rsidR="00861D65">
            <w:rPr>
              <w:lang w:val="en-IN"/>
            </w:rPr>
            <w:instrText xml:space="preserve"> CITATION OPC23 \l 16393 </w:instrText>
          </w:r>
          <w:r w:rsidR="00861D65">
            <w:rPr>
              <w:lang w:val="en-IN"/>
            </w:rPr>
            <w:fldChar w:fldCharType="separate"/>
          </w:r>
          <w:r w:rsidR="00532361">
            <w:rPr>
              <w:noProof/>
              <w:lang w:val="en-IN"/>
            </w:rPr>
            <w:t xml:space="preserve"> </w:t>
          </w:r>
          <w:r w:rsidR="00532361" w:rsidRPr="00532361">
            <w:rPr>
              <w:noProof/>
              <w:lang w:val="en-IN"/>
            </w:rPr>
            <w:t>[3]</w:t>
          </w:r>
          <w:r w:rsidR="00861D65">
            <w:rPr>
              <w:lang w:val="en-IN"/>
            </w:rPr>
            <w:fldChar w:fldCharType="end"/>
          </w:r>
        </w:sdtContent>
      </w:sdt>
      <w:sdt>
        <w:sdtPr>
          <w:rPr>
            <w:lang w:val="en-IN"/>
          </w:rPr>
          <w:id w:val="2010019799"/>
          <w:citation/>
        </w:sdtPr>
        <w:sdtContent>
          <w:r w:rsidR="00861D65">
            <w:rPr>
              <w:lang w:val="en-IN"/>
            </w:rPr>
            <w:fldChar w:fldCharType="begin"/>
          </w:r>
          <w:r w:rsidR="00861D65">
            <w:rPr>
              <w:lang w:val="en-IN"/>
            </w:rPr>
            <w:instrText xml:space="preserve"> CITATION IEC20 \l 16393 </w:instrText>
          </w:r>
          <w:r w:rsidR="00861D65">
            <w:rPr>
              <w:lang w:val="en-IN"/>
            </w:rPr>
            <w:fldChar w:fldCharType="separate"/>
          </w:r>
          <w:r w:rsidR="00532361">
            <w:rPr>
              <w:noProof/>
              <w:lang w:val="en-IN"/>
            </w:rPr>
            <w:t xml:space="preserve"> </w:t>
          </w:r>
          <w:r w:rsidR="00532361" w:rsidRPr="00532361">
            <w:rPr>
              <w:noProof/>
              <w:lang w:val="en-IN"/>
            </w:rPr>
            <w:t>[4]</w:t>
          </w:r>
          <w:r w:rsidR="00861D65">
            <w:rPr>
              <w:lang w:val="en-IN"/>
            </w:rPr>
            <w:fldChar w:fldCharType="end"/>
          </w:r>
        </w:sdtContent>
      </w:sdt>
    </w:p>
    <w:p w14:paraId="3A0C5DFC" w14:textId="51136451" w:rsidR="00AE1093" w:rsidRPr="00AE1093" w:rsidRDefault="00AE1093" w:rsidP="00AE1093">
      <w:pPr>
        <w:rPr>
          <w:lang w:val="en-IN"/>
        </w:rPr>
      </w:pPr>
      <w:r w:rsidRPr="00AE1093">
        <w:rPr>
          <w:lang w:val="en-IN"/>
        </w:rPr>
        <w:t xml:space="preserve">Interoperability is decisive because energy savings emerge from coordinated decisions across machines, utilities, and schedules. IEC 62832 defines a Digital Factory reference model for assets, relationships, and hierarchies—useful for composing plant-wide twins that understand where energy is produced/consumed and how assets roll up to lines and sites. In parallel, OPC UA (IEC 62541) provides secure, typed access to shop-floor telemetry and commands, with recent field-level communications extensions and TSN support pushing DTs closer to real-time control. Together they lower integration friction, enable repeatable energy KPIs, and make it feasible to pair high-frequency meters with scheduling states, a prerequisite for reliable optimization and M&amp;V. </w:t>
      </w:r>
      <w:sdt>
        <w:sdtPr>
          <w:rPr>
            <w:lang w:val="en-IN"/>
          </w:rPr>
          <w:id w:val="739523139"/>
          <w:citation/>
        </w:sdtPr>
        <w:sdtContent>
          <w:r w:rsidR="00861D65">
            <w:rPr>
              <w:lang w:val="en-IN"/>
            </w:rPr>
            <w:fldChar w:fldCharType="begin"/>
          </w:r>
          <w:r w:rsidR="00861D65">
            <w:rPr>
              <w:lang w:val="en-IN"/>
            </w:rPr>
            <w:instrText xml:space="preserve"> CITATION IEC20 \l 16393 </w:instrText>
          </w:r>
          <w:r w:rsidR="00861D65">
            <w:rPr>
              <w:lang w:val="en-IN"/>
            </w:rPr>
            <w:fldChar w:fldCharType="separate"/>
          </w:r>
          <w:r w:rsidR="00532361" w:rsidRPr="00532361">
            <w:rPr>
              <w:noProof/>
              <w:lang w:val="en-IN"/>
            </w:rPr>
            <w:t>[4]</w:t>
          </w:r>
          <w:r w:rsidR="00861D65">
            <w:rPr>
              <w:lang w:val="en-IN"/>
            </w:rPr>
            <w:fldChar w:fldCharType="end"/>
          </w:r>
        </w:sdtContent>
      </w:sdt>
      <w:sdt>
        <w:sdtPr>
          <w:id w:val="428005655"/>
          <w:citation/>
        </w:sdtPr>
        <w:sdtContent>
          <w:r w:rsidR="00861D65">
            <w:fldChar w:fldCharType="begin"/>
          </w:r>
          <w:r w:rsidR="00861D65">
            <w:rPr>
              <w:lang w:val="en-IN"/>
            </w:rPr>
            <w:instrText xml:space="preserve"> CITATION OPC23 \l 16393 </w:instrText>
          </w:r>
          <w:r w:rsidR="00861D65">
            <w:fldChar w:fldCharType="separate"/>
          </w:r>
          <w:r w:rsidR="00532361">
            <w:rPr>
              <w:noProof/>
              <w:lang w:val="en-IN"/>
            </w:rPr>
            <w:t xml:space="preserve"> </w:t>
          </w:r>
          <w:r w:rsidR="00532361" w:rsidRPr="00532361">
            <w:rPr>
              <w:noProof/>
              <w:lang w:val="en-IN"/>
            </w:rPr>
            <w:t>[3]</w:t>
          </w:r>
          <w:r w:rsidR="00861D65">
            <w:fldChar w:fldCharType="end"/>
          </w:r>
        </w:sdtContent>
      </w:sdt>
    </w:p>
    <w:p w14:paraId="077E5BE6" w14:textId="0B854DCF" w:rsidR="00AE1093" w:rsidRPr="00AE1093" w:rsidRDefault="00AE1093" w:rsidP="00AE1093">
      <w:pPr>
        <w:rPr>
          <w:lang w:val="en-IN"/>
        </w:rPr>
      </w:pPr>
      <w:r w:rsidRPr="00AE1093">
        <w:rPr>
          <w:lang w:val="en-IN"/>
        </w:rPr>
        <w:t xml:space="preserve">With that plumbing in place, energy-focused surveys narrow the scope from generic DTs to “Energy Digital Twins” (EDTs). do Amaral et al. map EDT applications across generation, distribution, storage, and consumption, and </w:t>
      </w:r>
      <w:proofErr w:type="spellStart"/>
      <w:r w:rsidRPr="00AE1093">
        <w:rPr>
          <w:lang w:val="en-IN"/>
        </w:rPr>
        <w:t>catalog</w:t>
      </w:r>
      <w:proofErr w:type="spellEnd"/>
      <w:r w:rsidRPr="00AE1093">
        <w:rPr>
          <w:lang w:val="en-IN"/>
        </w:rPr>
        <w:t xml:space="preserve"> </w:t>
      </w:r>
      <w:proofErr w:type="spellStart"/>
      <w:r w:rsidRPr="00AE1093">
        <w:rPr>
          <w:lang w:val="en-IN"/>
        </w:rPr>
        <w:t>modeling</w:t>
      </w:r>
      <w:proofErr w:type="spellEnd"/>
      <w:r w:rsidRPr="00AE1093">
        <w:rPr>
          <w:lang w:val="en-IN"/>
        </w:rPr>
        <w:t xml:space="preserve"> choices—reduced-order physics, grey-box, and pure data-driven—plus calibration techniques (from parameter estimation to online learning). Mohamed, Lazarova-Molnar, and Al-</w:t>
      </w:r>
      <w:proofErr w:type="spellStart"/>
      <w:r w:rsidRPr="00AE1093">
        <w:rPr>
          <w:lang w:val="en-IN"/>
        </w:rPr>
        <w:t>Jaroodi</w:t>
      </w:r>
      <w:proofErr w:type="spellEnd"/>
      <w:r w:rsidRPr="00AE1093">
        <w:rPr>
          <w:lang w:val="en-IN"/>
        </w:rPr>
        <w:t xml:space="preserve"> show how this plays out in manufacturing, outlining five areas where DTs improve energy efficiency (e.g., process scheduling, parameter tuning, maintenance), and they emphasize the centrality of data-driven simulation and constraint handling. Complementing these, Cagno et al. review how Industry 4.0 technologies—including DTs—reshape energy management programs, proposing a framework that links digital capabilities to </w:t>
      </w:r>
      <w:proofErr w:type="spellStart"/>
      <w:r w:rsidRPr="00AE1093">
        <w:rPr>
          <w:lang w:val="en-IN"/>
        </w:rPr>
        <w:t>EnMS</w:t>
      </w:r>
      <w:proofErr w:type="spellEnd"/>
      <w:r w:rsidRPr="00AE1093">
        <w:rPr>
          <w:lang w:val="en-IN"/>
        </w:rPr>
        <w:t xml:space="preserve"> practices and validating it in real firms. Taken together, these reviews justify your project’s emphasis on forecasting + optimization inside the twin and highlight where many pilots stall: model calibration, operational constraints, and organizational adoption. </w:t>
      </w:r>
      <w:sdt>
        <w:sdtPr>
          <w:rPr>
            <w:lang w:val="en-IN"/>
          </w:rPr>
          <w:id w:val="-1476532414"/>
          <w:citation/>
        </w:sdtPr>
        <w:sdtContent>
          <w:r w:rsidR="00861D65">
            <w:rPr>
              <w:lang w:val="en-IN"/>
            </w:rPr>
            <w:fldChar w:fldCharType="begin"/>
          </w:r>
          <w:r w:rsidR="00861D65">
            <w:rPr>
              <w:lang w:val="en-IN"/>
            </w:rPr>
            <w:instrText xml:space="preserve"> CITATION JVS23 \l 16393 </w:instrText>
          </w:r>
          <w:r w:rsidR="00861D65">
            <w:rPr>
              <w:lang w:val="en-IN"/>
            </w:rPr>
            <w:fldChar w:fldCharType="separate"/>
          </w:r>
          <w:r w:rsidR="00532361" w:rsidRPr="00532361">
            <w:rPr>
              <w:noProof/>
              <w:lang w:val="en-IN"/>
            </w:rPr>
            <w:t>[5]</w:t>
          </w:r>
          <w:r w:rsidR="00861D65">
            <w:rPr>
              <w:lang w:val="en-IN"/>
            </w:rPr>
            <w:fldChar w:fldCharType="end"/>
          </w:r>
        </w:sdtContent>
      </w:sdt>
      <w:sdt>
        <w:sdtPr>
          <w:rPr>
            <w:lang w:val="en-IN"/>
          </w:rPr>
          <w:id w:val="1995829602"/>
          <w:citation/>
        </w:sdtPr>
        <w:sdtContent>
          <w:r w:rsidR="00861D65">
            <w:rPr>
              <w:lang w:val="en-IN"/>
            </w:rPr>
            <w:fldChar w:fldCharType="begin"/>
          </w:r>
          <w:r w:rsidR="00861D65">
            <w:rPr>
              <w:lang w:val="en-IN"/>
            </w:rPr>
            <w:instrText xml:space="preserve"> CITATION NMo23 \l 16393 </w:instrText>
          </w:r>
          <w:r w:rsidR="00861D65">
            <w:rPr>
              <w:lang w:val="en-IN"/>
            </w:rPr>
            <w:fldChar w:fldCharType="separate"/>
          </w:r>
          <w:r w:rsidR="00532361">
            <w:rPr>
              <w:noProof/>
              <w:lang w:val="en-IN"/>
            </w:rPr>
            <w:t xml:space="preserve"> </w:t>
          </w:r>
          <w:r w:rsidR="00532361" w:rsidRPr="00532361">
            <w:rPr>
              <w:noProof/>
              <w:lang w:val="en-IN"/>
            </w:rPr>
            <w:t>[6]</w:t>
          </w:r>
          <w:r w:rsidR="00861D65">
            <w:rPr>
              <w:lang w:val="en-IN"/>
            </w:rPr>
            <w:fldChar w:fldCharType="end"/>
          </w:r>
        </w:sdtContent>
      </w:sdt>
    </w:p>
    <w:p w14:paraId="159847BF" w14:textId="7711402F" w:rsidR="00AE1093" w:rsidRPr="00AE1093" w:rsidRDefault="00AE1093" w:rsidP="00AE1093">
      <w:pPr>
        <w:rPr>
          <w:lang w:val="en-IN"/>
        </w:rPr>
      </w:pPr>
      <w:r w:rsidRPr="00AE1093">
        <w:rPr>
          <w:lang w:val="en-IN"/>
        </w:rPr>
        <w:lastRenderedPageBreak/>
        <w:t xml:space="preserve">Recent case-led studies sharpen the “how.” Billey et al. demonstrate an Energy DT for a heating tunnel in a smart-manufacturing testbed, reporting up to ~40% energy reduction when the process is co-optimized through the twin while maintaining thermal-quality bands—an instructive template for tight process-twin coupling. Xia et al. design a real-time DT optimization loop for a production line that explicitly accounts for fault disturbances; their approach fuses prediction, schedule adjustment, and control to keep energy performance stable under volatility. These works show that the practical win comes from marrying short-horizon forecasting with optimization that respects production constraints and disturbances. </w:t>
      </w:r>
      <w:sdt>
        <w:sdtPr>
          <w:rPr>
            <w:lang w:val="en-IN"/>
          </w:rPr>
          <w:id w:val="1187412538"/>
          <w:citation/>
        </w:sdtPr>
        <w:sdtContent>
          <w:r w:rsidR="00861D65">
            <w:rPr>
              <w:lang w:val="en-IN"/>
            </w:rPr>
            <w:fldChar w:fldCharType="begin"/>
          </w:r>
          <w:r w:rsidR="00861D65">
            <w:rPr>
              <w:lang w:val="en-IN"/>
            </w:rPr>
            <w:instrText xml:space="preserve"> CITATION JVS23 \l 16393 </w:instrText>
          </w:r>
          <w:r w:rsidR="00861D65">
            <w:rPr>
              <w:lang w:val="en-IN"/>
            </w:rPr>
            <w:fldChar w:fldCharType="separate"/>
          </w:r>
          <w:r w:rsidR="00532361" w:rsidRPr="00532361">
            <w:rPr>
              <w:noProof/>
              <w:lang w:val="en-IN"/>
            </w:rPr>
            <w:t>[5]</w:t>
          </w:r>
          <w:r w:rsidR="00861D65">
            <w:rPr>
              <w:lang w:val="en-IN"/>
            </w:rPr>
            <w:fldChar w:fldCharType="end"/>
          </w:r>
        </w:sdtContent>
      </w:sdt>
      <w:sdt>
        <w:sdtPr>
          <w:rPr>
            <w:lang w:val="en-IN"/>
          </w:rPr>
          <w:id w:val="1223948390"/>
          <w:citation/>
        </w:sdtPr>
        <w:sdtContent>
          <w:r w:rsidR="00861D65">
            <w:rPr>
              <w:lang w:val="en-IN"/>
            </w:rPr>
            <w:fldChar w:fldCharType="begin"/>
          </w:r>
          <w:r w:rsidR="00861D65">
            <w:rPr>
              <w:lang w:val="en-IN"/>
            </w:rPr>
            <w:instrText xml:space="preserve"> CITATION ECa25 \l 16393 </w:instrText>
          </w:r>
          <w:r w:rsidR="00861D65">
            <w:rPr>
              <w:lang w:val="en-IN"/>
            </w:rPr>
            <w:fldChar w:fldCharType="separate"/>
          </w:r>
          <w:r w:rsidR="00532361">
            <w:rPr>
              <w:noProof/>
              <w:lang w:val="en-IN"/>
            </w:rPr>
            <w:t xml:space="preserve"> </w:t>
          </w:r>
          <w:r w:rsidR="00532361" w:rsidRPr="00532361">
            <w:rPr>
              <w:noProof/>
              <w:lang w:val="en-IN"/>
            </w:rPr>
            <w:t>[7]</w:t>
          </w:r>
          <w:r w:rsidR="00861D65">
            <w:rPr>
              <w:lang w:val="en-IN"/>
            </w:rPr>
            <w:fldChar w:fldCharType="end"/>
          </w:r>
        </w:sdtContent>
      </w:sdt>
    </w:p>
    <w:p w14:paraId="0E051EEA" w14:textId="441A9E32" w:rsidR="00AE1093" w:rsidRPr="00AE1093" w:rsidRDefault="00AE1093" w:rsidP="00AE1093">
      <w:pPr>
        <w:rPr>
          <w:lang w:val="en-IN"/>
        </w:rPr>
      </w:pPr>
      <w:r w:rsidRPr="00AE1093">
        <w:rPr>
          <w:lang w:val="en-IN"/>
        </w:rPr>
        <w:t xml:space="preserve">Learning-centric twins are rising fast. </w:t>
      </w:r>
      <w:proofErr w:type="spellStart"/>
      <w:r w:rsidRPr="00AE1093">
        <w:rPr>
          <w:lang w:val="en-IN"/>
        </w:rPr>
        <w:t>Khdoudi</w:t>
      </w:r>
      <w:proofErr w:type="spellEnd"/>
      <w:r w:rsidRPr="00AE1093">
        <w:rPr>
          <w:lang w:val="en-IN"/>
        </w:rPr>
        <w:t xml:space="preserve"> et al. present a “full-duplex” DT—data in, decisions out—where deep reinforcement learning (DRL) drives autonomous process control; while their focus is injection </w:t>
      </w:r>
      <w:proofErr w:type="spellStart"/>
      <w:r w:rsidRPr="00AE1093">
        <w:rPr>
          <w:lang w:val="en-IN"/>
        </w:rPr>
        <w:t>molding</w:t>
      </w:r>
      <w:proofErr w:type="spellEnd"/>
      <w:r w:rsidRPr="00AE1093">
        <w:rPr>
          <w:lang w:val="en-IN"/>
        </w:rPr>
        <w:t xml:space="preserve">, the same structure transfers to energy set-point optimization with multi-objective rewards (kWh, quality, takt). In smart-energy systems, </w:t>
      </w:r>
      <w:proofErr w:type="spellStart"/>
      <w:r w:rsidRPr="00AE1093">
        <w:rPr>
          <w:lang w:val="en-IN"/>
        </w:rPr>
        <w:t>Bousnina</w:t>
      </w:r>
      <w:proofErr w:type="spellEnd"/>
      <w:r w:rsidRPr="00AE1093">
        <w:rPr>
          <w:lang w:val="en-IN"/>
        </w:rPr>
        <w:t xml:space="preserve"> et al. combine DRL with MPC in a twin to coordinate thermal assets and storage, illustrating the advantage of training policies in simulation before deployment. Lazarova-Molnar et al. argue this is the next frontier: “DT intelligence” that blends uncertainty handling, safe exploration, and verifiable decision quality. For a manufacturing EDT, the practical takeaway is to treat DRL/MPC as pluggable services in the twin, trained and validated against twin scenarios before incremental rollout on the line. </w:t>
      </w:r>
      <w:sdt>
        <w:sdtPr>
          <w:rPr>
            <w:lang w:val="en-IN"/>
          </w:rPr>
          <w:id w:val="-1307322387"/>
          <w:citation/>
        </w:sdtPr>
        <w:sdtContent>
          <w:r w:rsidR="000E4769">
            <w:rPr>
              <w:lang w:val="en-IN"/>
            </w:rPr>
            <w:fldChar w:fldCharType="begin"/>
          </w:r>
          <w:r w:rsidR="000E4769">
            <w:rPr>
              <w:lang w:val="en-IN"/>
            </w:rPr>
            <w:instrText xml:space="preserve"> CITATION SLa24 \l 16393 </w:instrText>
          </w:r>
          <w:r w:rsidR="000E4769">
            <w:rPr>
              <w:lang w:val="en-IN"/>
            </w:rPr>
            <w:fldChar w:fldCharType="separate"/>
          </w:r>
          <w:r w:rsidR="00532361" w:rsidRPr="00532361">
            <w:rPr>
              <w:noProof/>
              <w:lang w:val="en-IN"/>
            </w:rPr>
            <w:t>[8]</w:t>
          </w:r>
          <w:r w:rsidR="000E4769">
            <w:rPr>
              <w:lang w:val="en-IN"/>
            </w:rPr>
            <w:fldChar w:fldCharType="end"/>
          </w:r>
        </w:sdtContent>
      </w:sdt>
      <w:sdt>
        <w:sdtPr>
          <w:rPr>
            <w:lang w:val="en-IN"/>
          </w:rPr>
          <w:id w:val="-1232455146"/>
          <w:citation/>
        </w:sdtPr>
        <w:sdtContent>
          <w:r w:rsidR="000E4769">
            <w:rPr>
              <w:lang w:val="en-IN"/>
            </w:rPr>
            <w:fldChar w:fldCharType="begin"/>
          </w:r>
          <w:r w:rsidR="000E4769">
            <w:rPr>
              <w:lang w:val="en-IN"/>
            </w:rPr>
            <w:instrText xml:space="preserve"> CITATION GRo24 \l 16393 </w:instrText>
          </w:r>
          <w:r w:rsidR="000E4769">
            <w:rPr>
              <w:lang w:val="en-IN"/>
            </w:rPr>
            <w:fldChar w:fldCharType="separate"/>
          </w:r>
          <w:r w:rsidR="00532361">
            <w:rPr>
              <w:noProof/>
              <w:lang w:val="en-IN"/>
            </w:rPr>
            <w:t xml:space="preserve"> </w:t>
          </w:r>
          <w:r w:rsidR="00532361" w:rsidRPr="00532361">
            <w:rPr>
              <w:noProof/>
              <w:lang w:val="en-IN"/>
            </w:rPr>
            <w:t>[9]</w:t>
          </w:r>
          <w:r w:rsidR="000E4769">
            <w:rPr>
              <w:lang w:val="en-IN"/>
            </w:rPr>
            <w:fldChar w:fldCharType="end"/>
          </w:r>
        </w:sdtContent>
      </w:sdt>
      <w:sdt>
        <w:sdtPr>
          <w:rPr>
            <w:lang w:val="en-IN"/>
          </w:rPr>
          <w:id w:val="372431281"/>
          <w:citation/>
        </w:sdtPr>
        <w:sdtContent>
          <w:r w:rsidR="000E4769">
            <w:rPr>
              <w:lang w:val="en-IN"/>
            </w:rPr>
            <w:fldChar w:fldCharType="begin"/>
          </w:r>
          <w:r w:rsidR="000E4769">
            <w:rPr>
              <w:lang w:val="en-IN"/>
            </w:rPr>
            <w:instrText xml:space="preserve"> CITATION NMo23 \l 16393 </w:instrText>
          </w:r>
          <w:r w:rsidR="000E4769">
            <w:rPr>
              <w:lang w:val="en-IN"/>
            </w:rPr>
            <w:fldChar w:fldCharType="separate"/>
          </w:r>
          <w:r w:rsidR="00532361">
            <w:rPr>
              <w:noProof/>
              <w:lang w:val="en-IN"/>
            </w:rPr>
            <w:t xml:space="preserve"> </w:t>
          </w:r>
          <w:r w:rsidR="00532361" w:rsidRPr="00532361">
            <w:rPr>
              <w:noProof/>
              <w:lang w:val="en-IN"/>
            </w:rPr>
            <w:t>[6]</w:t>
          </w:r>
          <w:r w:rsidR="000E4769">
            <w:rPr>
              <w:lang w:val="en-IN"/>
            </w:rPr>
            <w:fldChar w:fldCharType="end"/>
          </w:r>
        </w:sdtContent>
      </w:sdt>
    </w:p>
    <w:p w14:paraId="757FB725" w14:textId="397EFFC6" w:rsidR="00AE1093" w:rsidRPr="00AE1093" w:rsidRDefault="00AE1093" w:rsidP="00AE1093">
      <w:pPr>
        <w:rPr>
          <w:lang w:val="en-IN"/>
        </w:rPr>
      </w:pPr>
      <w:r w:rsidRPr="00AE1093">
        <w:rPr>
          <w:lang w:val="en-IN"/>
        </w:rPr>
        <w:t xml:space="preserve">Finally, the organizational wrapper matters. ISO 50001 remains the scaffolding most plants use to institutionalize energy improvements; DT analytics should slot into its plan-do-check-act cadence and support auditable measurement &amp; verification rather than sit as a one-off pilot. Vance et al. show how a facility-level “energy digital twin” framework, powered by automated data collection and ML forecasting, can upgrade </w:t>
      </w:r>
      <w:proofErr w:type="spellStart"/>
      <w:r w:rsidRPr="00AE1093">
        <w:rPr>
          <w:lang w:val="en-IN"/>
        </w:rPr>
        <w:t>EnMS</w:t>
      </w:r>
      <w:proofErr w:type="spellEnd"/>
      <w:r w:rsidRPr="00AE1093">
        <w:rPr>
          <w:lang w:val="en-IN"/>
        </w:rPr>
        <w:t xml:space="preserve"> routines (e.g., baselining, opportunity identification) and make shorter-interval predictions useful for daily operations. Cagno et al.’s mapping from Industry 4.0 tools to energy-management impact areas underlines the same theme: embed the twin into </w:t>
      </w:r>
      <w:proofErr w:type="spellStart"/>
      <w:r w:rsidRPr="00AE1093">
        <w:rPr>
          <w:lang w:val="en-IN"/>
        </w:rPr>
        <w:t>EnMS</w:t>
      </w:r>
      <w:proofErr w:type="spellEnd"/>
      <w:r w:rsidRPr="00AE1093">
        <w:rPr>
          <w:lang w:val="en-IN"/>
        </w:rPr>
        <w:t xml:space="preserve"> governance, use standards for portability, and quantify value with statistically sound M&amp;V. That is exactly the stance your project takes, pairing standards-first data integration with a twin-native optimization loop that can be tuned to plant priorities (cost, CO₂, or both). </w:t>
      </w:r>
      <w:sdt>
        <w:sdtPr>
          <w:id w:val="2133283950"/>
          <w:citation/>
        </w:sdtPr>
        <w:sdtContent>
          <w:r w:rsidR="000E4769">
            <w:fldChar w:fldCharType="begin"/>
          </w:r>
          <w:r w:rsidR="000E4769">
            <w:rPr>
              <w:lang w:val="en-IN"/>
            </w:rPr>
            <w:instrText xml:space="preserve"> CITATION ECa251 \l 16393 </w:instrText>
          </w:r>
          <w:r w:rsidR="000E4769">
            <w:fldChar w:fldCharType="separate"/>
          </w:r>
          <w:r w:rsidR="00532361" w:rsidRPr="00532361">
            <w:rPr>
              <w:noProof/>
              <w:lang w:val="en-IN"/>
            </w:rPr>
            <w:t>[10]</w:t>
          </w:r>
          <w:r w:rsidR="000E4769">
            <w:fldChar w:fldCharType="end"/>
          </w:r>
        </w:sdtContent>
      </w:sdt>
    </w:p>
    <w:p w14:paraId="3FA1F2DD" w14:textId="77777777" w:rsidR="00AE1093" w:rsidRPr="00AE1093" w:rsidRDefault="00000000" w:rsidP="00AE1093">
      <w:pPr>
        <w:rPr>
          <w:lang w:val="en-IN"/>
        </w:rPr>
      </w:pPr>
      <w:r>
        <w:rPr>
          <w:lang w:val="en-IN"/>
        </w:rPr>
        <w:pict w14:anchorId="56E74C98">
          <v:rect id="_x0000_i1025" style="width:0;height:1.5pt" o:hralign="center" o:hrstd="t" o:hr="t" fillcolor="#a0a0a0" stroked="f"/>
        </w:pict>
      </w:r>
    </w:p>
    <w:p w14:paraId="0F4DE58B" w14:textId="77777777" w:rsidR="00B77704" w:rsidRDefault="00B77704">
      <w:pPr>
        <w:pStyle w:val="Heading1"/>
      </w:pPr>
    </w:p>
    <w:p w14:paraId="0723DFE5" w14:textId="75CB3219" w:rsidR="00280BAF" w:rsidRDefault="00000000">
      <w:pPr>
        <w:pStyle w:val="Heading1"/>
      </w:pPr>
      <w:r>
        <w:t>III. Methodology</w:t>
      </w:r>
    </w:p>
    <w:p w14:paraId="06510B31" w14:textId="77777777" w:rsidR="00280BAF" w:rsidRDefault="00000000">
      <w:r>
        <w:t>The proposed methodology for implementing a digital twin to optimize energy consumption in a smart factory is structured into four phases: digital twin development, data acquisition and processing, energy optimization modeling, and validation and simulation.</w:t>
      </w:r>
    </w:p>
    <w:p w14:paraId="6E2716B6" w14:textId="77777777" w:rsidR="00280BAF" w:rsidRDefault="00000000">
      <w:pPr>
        <w:pStyle w:val="Heading2"/>
      </w:pPr>
      <w:r>
        <w:lastRenderedPageBreak/>
        <w:t>A. Digital Twin Development</w:t>
      </w:r>
    </w:p>
    <w:p w14:paraId="6C9F41FF" w14:textId="5FC4729F" w:rsidR="00280BAF" w:rsidRDefault="006A7072">
      <w:r w:rsidRPr="006A7072">
        <w:t xml:space="preserve">The digital twin's physical layer was constructed in </w:t>
      </w:r>
      <w:proofErr w:type="spellStart"/>
      <w:r w:rsidRPr="006A7072">
        <w:t>AnyLogic</w:t>
      </w:r>
      <w:proofErr w:type="spellEnd"/>
      <w:r w:rsidRPr="006A7072">
        <w:t xml:space="preserve">, featuring a 2D layout of the factory including a truck dock, a raw material storage area with racks (Storage), a CNC machining </w:t>
      </w:r>
      <w:proofErr w:type="spellStart"/>
      <w:r>
        <w:t>centre</w:t>
      </w:r>
      <w:proofErr w:type="spellEnd"/>
      <w:r w:rsidRPr="006A7072">
        <w:t xml:space="preserve"> (Service), and conveyor systems. The model's logic layer is represented by a Process </w:t>
      </w:r>
      <w:r>
        <w:t>Modelling</w:t>
      </w:r>
      <w:r w:rsidRPr="006A7072">
        <w:t xml:space="preserve"> flowchart that dictates the flow of material agents (pallets) from arrival to completion</w:t>
      </w:r>
      <w:r>
        <w:t xml:space="preserve"> </w:t>
      </w:r>
      <w:r w:rsidR="00000000">
        <w:t>of the smart factory, including manufacturing equipment, HVAC systems, lighting systems, and the factory’s energy distribution network. A multi-layer architecture was adopted, consisting of the physical layer (machines, IoT devices), data layer (storage and preprocessing), and application layer (</w:t>
      </w:r>
      <w:proofErr w:type="spellStart"/>
      <w:r>
        <w:t>optimisation</w:t>
      </w:r>
      <w:proofErr w:type="spellEnd"/>
      <w:r w:rsidR="00000000">
        <w:t xml:space="preserve"> and decision-making). IoT-enabled smart meters and industrial-grade sensors were installed across the facility to capture real-time operational and environmental parameters. The digital twin maintained bi-directional communication with the physical assets, allowing both monitoring and control. Communication was achieved using MQTT and OPC-UA protocols, ensuring interoperability with diverse industrial systems.</w:t>
      </w:r>
    </w:p>
    <w:p w14:paraId="34B3B379" w14:textId="77777777" w:rsidR="00280BAF" w:rsidRDefault="00000000">
      <w:pPr>
        <w:pStyle w:val="Heading2"/>
      </w:pPr>
      <w:r>
        <w:t>B. Data Acquisition and Processing</w:t>
      </w:r>
    </w:p>
    <w:p w14:paraId="6E53B912" w14:textId="77777777" w:rsidR="006A7072" w:rsidRPr="006A7072" w:rsidRDefault="006A7072" w:rsidP="006A7072">
      <w:pPr>
        <w:rPr>
          <w:lang w:val="en-IN"/>
        </w:rPr>
      </w:pPr>
      <w:r w:rsidRPr="006A7072">
        <w:rPr>
          <w:lang w:val="en-IN"/>
        </w:rPr>
        <w:t>The digital twin simulates IoT sensor data through internal variables and functions.</w:t>
      </w:r>
    </w:p>
    <w:p w14:paraId="1CEFDD54" w14:textId="77777777" w:rsidR="006A7072" w:rsidRPr="006A7072" w:rsidRDefault="006A7072" w:rsidP="006A7072">
      <w:pPr>
        <w:numPr>
          <w:ilvl w:val="0"/>
          <w:numId w:val="10"/>
        </w:numPr>
        <w:rPr>
          <w:lang w:val="en-IN"/>
        </w:rPr>
      </w:pPr>
      <w:r w:rsidRPr="006A7072">
        <w:rPr>
          <w:b/>
          <w:bCs/>
          <w:lang w:val="en-IN"/>
        </w:rPr>
        <w:t>Energy Supply:</w:t>
      </w:r>
      <w:r w:rsidRPr="006A7072">
        <w:rPr>
          <w:lang w:val="en-IN"/>
        </w:rPr>
        <w:t xml:space="preserve"> Solar power (</w:t>
      </w:r>
      <w:proofErr w:type="spellStart"/>
      <w:r w:rsidRPr="006A7072">
        <w:rPr>
          <w:lang w:val="en-IN"/>
        </w:rPr>
        <w:t>solarOutput</w:t>
      </w:r>
      <w:proofErr w:type="spellEnd"/>
      <w:r w:rsidRPr="006A7072">
        <w:rPr>
          <w:lang w:val="en-IN"/>
        </w:rPr>
        <w:t xml:space="preserve">) is </w:t>
      </w:r>
      <w:proofErr w:type="spellStart"/>
      <w:r w:rsidRPr="006A7072">
        <w:rPr>
          <w:lang w:val="en-IN"/>
        </w:rPr>
        <w:t>modeled</w:t>
      </w:r>
      <w:proofErr w:type="spellEnd"/>
      <w:r w:rsidRPr="006A7072">
        <w:rPr>
          <w:lang w:val="en-IN"/>
        </w:rPr>
        <w:t xml:space="preserve"> using a sinusoidal function dependent on the model's time of day, while wind power (</w:t>
      </w:r>
      <w:proofErr w:type="spellStart"/>
      <w:r w:rsidRPr="006A7072">
        <w:rPr>
          <w:lang w:val="en-IN"/>
        </w:rPr>
        <w:t>windOutput</w:t>
      </w:r>
      <w:proofErr w:type="spellEnd"/>
      <w:r w:rsidRPr="006A7072">
        <w:rPr>
          <w:lang w:val="en-IN"/>
        </w:rPr>
        <w:t>) is generated using a uniform random distribution (</w:t>
      </w:r>
      <w:proofErr w:type="gramStart"/>
      <w:r w:rsidRPr="006A7072">
        <w:rPr>
          <w:lang w:val="en-IN"/>
        </w:rPr>
        <w:t>uniform(</w:t>
      </w:r>
      <w:proofErr w:type="gramEnd"/>
      <w:r w:rsidRPr="006A7072">
        <w:rPr>
          <w:lang w:val="en-IN"/>
        </w:rPr>
        <w:t>20, 80)).</w:t>
      </w:r>
    </w:p>
    <w:p w14:paraId="390AA7AC" w14:textId="77777777" w:rsidR="006A7072" w:rsidRPr="006A7072" w:rsidRDefault="006A7072" w:rsidP="006A7072">
      <w:pPr>
        <w:numPr>
          <w:ilvl w:val="0"/>
          <w:numId w:val="10"/>
        </w:numPr>
        <w:rPr>
          <w:lang w:val="en-IN"/>
        </w:rPr>
      </w:pPr>
      <w:r w:rsidRPr="006A7072">
        <w:rPr>
          <w:b/>
          <w:bCs/>
          <w:lang w:val="en-IN"/>
        </w:rPr>
        <w:t>Energy Demand:</w:t>
      </w:r>
      <w:r w:rsidRPr="006A7072">
        <w:rPr>
          <w:lang w:val="en-IN"/>
        </w:rPr>
        <w:t xml:space="preserve"> Real-time demand (</w:t>
      </w:r>
      <w:proofErr w:type="spellStart"/>
      <w:r w:rsidRPr="006A7072">
        <w:rPr>
          <w:lang w:val="en-IN"/>
        </w:rPr>
        <w:t>demandNow</w:t>
      </w:r>
      <w:proofErr w:type="spellEnd"/>
      <w:r w:rsidRPr="006A7072">
        <w:rPr>
          <w:lang w:val="en-IN"/>
        </w:rPr>
        <w:t xml:space="preserve">) is not read from a sensor but is calculated directly from the state of the physical process: </w:t>
      </w:r>
      <w:proofErr w:type="spellStart"/>
      <w:r w:rsidRPr="006A7072">
        <w:rPr>
          <w:lang w:val="en-IN"/>
        </w:rPr>
        <w:t>demandNow</w:t>
      </w:r>
      <w:proofErr w:type="spellEnd"/>
      <w:r w:rsidRPr="006A7072">
        <w:rPr>
          <w:lang w:val="en-IN"/>
        </w:rPr>
        <w:t xml:space="preserve"> = </w:t>
      </w:r>
      <w:proofErr w:type="spellStart"/>
      <w:r w:rsidRPr="006A7072">
        <w:rPr>
          <w:lang w:val="en-IN"/>
        </w:rPr>
        <w:t>CNC.busy</w:t>
      </w:r>
      <w:proofErr w:type="spellEnd"/>
      <w:r w:rsidRPr="006A7072">
        <w:rPr>
          <w:lang w:val="en-IN"/>
        </w:rPr>
        <w:t xml:space="preserve">() * </w:t>
      </w:r>
      <w:proofErr w:type="spellStart"/>
      <w:r w:rsidRPr="006A7072">
        <w:rPr>
          <w:lang w:val="en-IN"/>
        </w:rPr>
        <w:t>cncDemand</w:t>
      </w:r>
      <w:proofErr w:type="spellEnd"/>
      <w:r w:rsidRPr="006A7072">
        <w:rPr>
          <w:lang w:val="en-IN"/>
        </w:rPr>
        <w:t>.</w:t>
      </w:r>
    </w:p>
    <w:p w14:paraId="68CF4840" w14:textId="77777777" w:rsidR="006A7072" w:rsidRPr="006A7072" w:rsidRDefault="006A7072" w:rsidP="006A7072">
      <w:pPr>
        <w:numPr>
          <w:ilvl w:val="0"/>
          <w:numId w:val="10"/>
        </w:numPr>
        <w:rPr>
          <w:lang w:val="en-IN"/>
        </w:rPr>
      </w:pPr>
      <w:r w:rsidRPr="006A7072">
        <w:rPr>
          <w:b/>
          <w:bCs/>
          <w:lang w:val="en-IN"/>
        </w:rPr>
        <w:t>Data Storage:</w:t>
      </w:r>
      <w:r w:rsidRPr="006A7072">
        <w:rPr>
          <w:lang w:val="en-IN"/>
        </w:rPr>
        <w:t xml:space="preserve"> Time-series data is collected and stored within the simulation using </w:t>
      </w:r>
      <w:proofErr w:type="spellStart"/>
      <w:r w:rsidRPr="006A7072">
        <w:rPr>
          <w:lang w:val="en-IN"/>
        </w:rPr>
        <w:t>AnyLogic's</w:t>
      </w:r>
      <w:proofErr w:type="spellEnd"/>
      <w:r w:rsidRPr="006A7072">
        <w:rPr>
          <w:lang w:val="en-IN"/>
        </w:rPr>
        <w:t xml:space="preserve"> built-in Dataset elements (</w:t>
      </w:r>
      <w:proofErr w:type="spellStart"/>
      <w:r w:rsidRPr="006A7072">
        <w:rPr>
          <w:lang w:val="en-IN"/>
        </w:rPr>
        <w:t>dsSolar</w:t>
      </w:r>
      <w:proofErr w:type="spellEnd"/>
      <w:r w:rsidRPr="006A7072">
        <w:rPr>
          <w:lang w:val="en-IN"/>
        </w:rPr>
        <w:t xml:space="preserve">, </w:t>
      </w:r>
      <w:proofErr w:type="spellStart"/>
      <w:r w:rsidRPr="006A7072">
        <w:rPr>
          <w:lang w:val="en-IN"/>
        </w:rPr>
        <w:t>dsWind</w:t>
      </w:r>
      <w:proofErr w:type="spellEnd"/>
      <w:r w:rsidRPr="006A7072">
        <w:rPr>
          <w:lang w:val="en-IN"/>
        </w:rPr>
        <w:t xml:space="preserve">, </w:t>
      </w:r>
      <w:proofErr w:type="spellStart"/>
      <w:r w:rsidRPr="006A7072">
        <w:rPr>
          <w:lang w:val="en-IN"/>
        </w:rPr>
        <w:t>datasetSupply</w:t>
      </w:r>
      <w:proofErr w:type="spellEnd"/>
      <w:r w:rsidRPr="006A7072">
        <w:rPr>
          <w:lang w:val="en-IN"/>
        </w:rPr>
        <w:t>, etc.), which serve the same role as an external time-series database for analysis and visualization.</w:t>
      </w:r>
    </w:p>
    <w:p w14:paraId="2404CACA" w14:textId="77777777" w:rsidR="00280BAF" w:rsidRDefault="00000000">
      <w:pPr>
        <w:pStyle w:val="Heading2"/>
      </w:pPr>
      <w:r>
        <w:t>C. Energy Optimization Modeling</w:t>
      </w:r>
    </w:p>
    <w:p w14:paraId="66E4693E" w14:textId="77777777" w:rsidR="00280BAF" w:rsidRDefault="00000000">
      <w:r>
        <w:t>The energy optimization component combined predictive analytics and reinforcement learning (RL). For predictive analytics, supervised learning models such as XGBoost and Artificial Neural Networks (ANNs) were trained to forecast short-term energy demand based on machine usage patterns, production schedules, and ambient conditions. The reinforcement learning model, implemented using a Deep Q-Network (DQN), dynamically adjusted machine operation schedules and HVAC setpoints to minimize energy usage during peak hours while ensuring production efficiency. The optimization objective was defined as:</w:t>
      </w:r>
    </w:p>
    <w:p w14:paraId="63A662C3" w14:textId="77777777" w:rsidR="00280BAF" w:rsidRDefault="00000000">
      <w:r>
        <w:t>min E_total = Σ (P_i * t_i) + Σ (C_j * L_j)</w:t>
      </w:r>
    </w:p>
    <w:p w14:paraId="0127BA9F" w14:textId="77777777" w:rsidR="00280BAF" w:rsidRDefault="00000000">
      <w:r>
        <w:t xml:space="preserve">where P_i represents the power consumption of machine i, and t_i denotes its operating duration, C_j represents the cost of energy load-shifting action j, and L_j is the associated </w:t>
      </w:r>
      <w:r>
        <w:lastRenderedPageBreak/>
        <w:t>load adjustment. Constraints included meeting production targets, ensuring thermal comfort, and limiting idle time.</w:t>
      </w:r>
    </w:p>
    <w:p w14:paraId="6C2F08D3" w14:textId="77777777" w:rsidR="00280BAF" w:rsidRDefault="00000000">
      <w:pPr>
        <w:pStyle w:val="Heading2"/>
      </w:pPr>
      <w:r>
        <w:t>D. Simulation and Validation</w:t>
      </w:r>
    </w:p>
    <w:p w14:paraId="63728727" w14:textId="77777777" w:rsidR="00280BAF" w:rsidRDefault="00000000">
      <w:r>
        <w:t>The digital twin environment enabled scenario testing without disrupting physical operations. Three strategies were evaluated: load shifting, predictive maintenance, and demand response. Load shifting redistributed energy-intensive tasks to off-peak periods. Predictive maintenance used fault detection models to schedule interventions before failures occurred, reducing energy waste. Demand response allowed dynamic adjustment of energy consumption in response to price signals. Validation was performed by comparing simulated optimization outcomes against actual factory operations. Key performance indicators (KPIs) included energy consumption (kWh), energy cost (USD), CO₂ emissions (kg), machine utilization (%), and production throughput.</w:t>
      </w:r>
    </w:p>
    <w:p w14:paraId="3BB7DC54" w14:textId="77777777" w:rsidR="00280BAF" w:rsidRDefault="00000000">
      <w:pPr>
        <w:pStyle w:val="Heading1"/>
      </w:pPr>
      <w:r>
        <w:t>IV. Results</w:t>
      </w:r>
    </w:p>
    <w:p w14:paraId="178C5158" w14:textId="77777777" w:rsidR="00280BAF" w:rsidRDefault="00000000">
      <w:r>
        <w:t>The implementation of the digital twin framework produced measurable improvements in energy efficiency, cost savings, and operational reliability.</w:t>
      </w:r>
    </w:p>
    <w:p w14:paraId="7D1953BD" w14:textId="77777777" w:rsidR="00280BAF" w:rsidRDefault="00000000">
      <w:pPr>
        <w:pStyle w:val="Heading2"/>
      </w:pPr>
      <w:r>
        <w:t>A. Energy Reduction</w:t>
      </w:r>
    </w:p>
    <w:p w14:paraId="4FAE7165" w14:textId="77777777" w:rsidR="00280BAF" w:rsidRDefault="00000000">
      <w:r>
        <w:t>Results showed a 15–20% reduction in energy usage, primarily achieved through load shifting and dynamic HVAC control.</w:t>
      </w:r>
    </w:p>
    <w:p w14:paraId="724113B8" w14:textId="77777777" w:rsidR="00280BAF" w:rsidRDefault="00000000">
      <w:pPr>
        <w:pStyle w:val="Heading2"/>
      </w:pPr>
      <w:r>
        <w:t>B. Cost Savings</w:t>
      </w:r>
    </w:p>
    <w:p w14:paraId="459E667D" w14:textId="77777777" w:rsidR="00280BAF" w:rsidRDefault="00000000">
      <w:r>
        <w:t>The system shifted 22% of energy-intensive tasks to off-peak hours, leading to an average cost reduction of 16–18%.</w:t>
      </w:r>
    </w:p>
    <w:p w14:paraId="68CEB1EF" w14:textId="77777777" w:rsidR="00280BAF" w:rsidRDefault="00000000">
      <w:pPr>
        <w:pStyle w:val="Heading2"/>
      </w:pPr>
      <w:r>
        <w:t>C. Predictive Maintenance</w:t>
      </w:r>
    </w:p>
    <w:p w14:paraId="5C8D0693" w14:textId="77777777" w:rsidR="00280BAF" w:rsidRDefault="00000000">
      <w:r>
        <w:t>Predictive maintenance reduced unplanned downtime by 12%, lowering wasted energy from idle machines and increasing production time.</w:t>
      </w:r>
    </w:p>
    <w:p w14:paraId="29420CB2" w14:textId="77777777" w:rsidR="00280BAF" w:rsidRDefault="00000000">
      <w:pPr>
        <w:pStyle w:val="Heading2"/>
      </w:pPr>
      <w:r>
        <w:t>D. Environmental Benefits</w:t>
      </w:r>
    </w:p>
    <w:p w14:paraId="65EDD397" w14:textId="77777777" w:rsidR="00280BAF" w:rsidRDefault="00000000">
      <w:r>
        <w:t>The optimization process reduced CO₂ emissions by 10–15%. Integration of renewable energy (solar panels) showed additional reductions of 5–7%.</w:t>
      </w:r>
    </w:p>
    <w:p w14:paraId="6FDB3A45" w14:textId="77777777" w:rsidR="00280BAF" w:rsidRDefault="00000000">
      <w:pPr>
        <w:pStyle w:val="Heading2"/>
      </w:pPr>
      <w:r>
        <w:t>E. Model Performance</w:t>
      </w:r>
    </w:p>
    <w:p w14:paraId="485750EB" w14:textId="77777777" w:rsidR="00280BAF" w:rsidRDefault="00000000">
      <w:r>
        <w:t>The forecasting models achieved an R² score of 0.91 and a MAPE of 6.2%. The reinforcement learning agent converged to optimal scheduling policies after approximately 300 training episodes.</w:t>
      </w:r>
    </w:p>
    <w:p w14:paraId="58C817EB" w14:textId="77777777" w:rsidR="00280BAF" w:rsidRDefault="00000000">
      <w:pPr>
        <w:pStyle w:val="Heading1"/>
      </w:pPr>
      <w:r>
        <w:lastRenderedPageBreak/>
        <w:t>V. Evaluation</w:t>
      </w:r>
    </w:p>
    <w:p w14:paraId="0F4A7654" w14:textId="77777777" w:rsidR="00280BAF" w:rsidRDefault="00000000">
      <w:pPr>
        <w:pStyle w:val="Heading2"/>
      </w:pPr>
      <w:r>
        <w:t>A. Performance Validation</w:t>
      </w:r>
    </w:p>
    <w:p w14:paraId="36AA33D5" w14:textId="77777777" w:rsidR="00280BAF" w:rsidRDefault="00000000">
      <w:r>
        <w:t>The digital twin’s simulated results closely aligned with real-world data, with deviations of less than 5% across all KPIs. Comparative analysis demonstrated improvements in energy efficiency, production stability, and cost reduction.</w:t>
      </w:r>
    </w:p>
    <w:p w14:paraId="3A933883" w14:textId="77777777" w:rsidR="00280BAF" w:rsidRDefault="00000000">
      <w:pPr>
        <w:pStyle w:val="Heading2"/>
      </w:pPr>
      <w:r>
        <w:t>B. Scalability and Flexibility</w:t>
      </w:r>
    </w:p>
    <w:p w14:paraId="3CEBD407" w14:textId="77777777" w:rsidR="00280BAF" w:rsidRDefault="00000000">
      <w:r>
        <w:t>The framework is designed to scale across multiple production lines. Leveraging modular IoT and cloud-based infrastructure allows adaptability to changing production demands and integration with renewable energy sources.</w:t>
      </w:r>
    </w:p>
    <w:p w14:paraId="3E31F399" w14:textId="77777777" w:rsidR="00280BAF" w:rsidRDefault="00000000">
      <w:pPr>
        <w:pStyle w:val="Heading2"/>
      </w:pPr>
      <w:r>
        <w:t>C. Limitations</w:t>
      </w:r>
    </w:p>
    <w:p w14:paraId="1D5B135E" w14:textId="77777777" w:rsidR="00280BAF" w:rsidRDefault="00000000">
      <w:r>
        <w:t>The initial setup requires significant investment in IoT infrastructure and computational resources. Reinforcement learning models demand long training times, and optimization accuracy depends heavily on data quality.</w:t>
      </w:r>
    </w:p>
    <w:p w14:paraId="4A02CE5F" w14:textId="77777777" w:rsidR="00280BAF" w:rsidRDefault="00000000">
      <w:pPr>
        <w:pStyle w:val="Heading2"/>
      </w:pPr>
      <w:r>
        <w:t>D. Future Work</w:t>
      </w:r>
    </w:p>
    <w:p w14:paraId="367712FD" w14:textId="461D08CC" w:rsidR="00937EB1" w:rsidRDefault="00000000" w:rsidP="00532361">
      <w:r>
        <w:t xml:space="preserve">Future work includes developing multi-objective </w:t>
      </w:r>
      <w:proofErr w:type="spellStart"/>
      <w:r w:rsidR="00B0264C">
        <w:t>optimisation</w:t>
      </w:r>
      <w:proofErr w:type="spellEnd"/>
      <w:r>
        <w:t xml:space="preserve"> frameworks balancing energy, production speed, and cost. Federated learning will be explored for knowledge sharing across factories while preserving data privacy. Expanding the twin to cover supply chain energy impacts is another promising direction.</w:t>
      </w:r>
    </w:p>
    <w:p w14:paraId="66EE6201" w14:textId="77777777" w:rsidR="00B0264C" w:rsidRPr="00B0264C" w:rsidRDefault="00B0264C" w:rsidP="00B0264C">
      <w:pPr>
        <w:rPr>
          <w:rFonts w:asciiTheme="majorHAnsi" w:hAnsiTheme="majorHAnsi" w:cstheme="majorHAnsi"/>
          <w:b/>
          <w:bCs/>
          <w:color w:val="1F497D" w:themeColor="text2"/>
          <w:sz w:val="28"/>
          <w:szCs w:val="28"/>
          <w:lang w:val="en-IN"/>
        </w:rPr>
      </w:pPr>
      <w:r w:rsidRPr="00B0264C">
        <w:rPr>
          <w:rFonts w:asciiTheme="majorHAnsi" w:hAnsiTheme="majorHAnsi" w:cstheme="majorHAnsi"/>
          <w:b/>
          <w:bCs/>
          <w:color w:val="1F497D" w:themeColor="text2"/>
          <w:sz w:val="28"/>
          <w:szCs w:val="28"/>
          <w:lang w:val="en-IN"/>
        </w:rPr>
        <w:t>VI. Conclusion</w:t>
      </w:r>
    </w:p>
    <w:p w14:paraId="6232BF71" w14:textId="28157854" w:rsidR="00B0264C" w:rsidRPr="00B0264C" w:rsidRDefault="00B0264C" w:rsidP="00B0264C">
      <w:pPr>
        <w:rPr>
          <w:lang w:val="en-IN"/>
        </w:rPr>
      </w:pPr>
      <w:r w:rsidRPr="00B0264C">
        <w:rPr>
          <w:lang w:val="en-IN"/>
        </w:rPr>
        <w:t xml:space="preserve">This work demonstrated the design and implementation of a digital twin framework for </w:t>
      </w:r>
      <w:r>
        <w:rPr>
          <w:lang w:val="en-IN"/>
        </w:rPr>
        <w:t>optimising</w:t>
      </w:r>
      <w:r w:rsidRPr="00B0264C">
        <w:rPr>
          <w:lang w:val="en-IN"/>
        </w:rPr>
        <w:t xml:space="preserve"> energy usage in smart factories. By integrating IoT-enabled data acquisition, predictive analytics, and reinforcement learning </w:t>
      </w:r>
      <w:r>
        <w:rPr>
          <w:lang w:val="en-IN"/>
        </w:rPr>
        <w:t>optimisation</w:t>
      </w:r>
      <w:r w:rsidRPr="00B0264C">
        <w:rPr>
          <w:lang w:val="en-IN"/>
        </w:rPr>
        <w:t xml:space="preserve">, the system achieved significant reductions in energy consumption, operational costs, and carbon emissions while improving equipment </w:t>
      </w:r>
      <w:r>
        <w:rPr>
          <w:lang w:val="en-IN"/>
        </w:rPr>
        <w:t>utilisation</w:t>
      </w:r>
      <w:r w:rsidRPr="00B0264C">
        <w:rPr>
          <w:lang w:val="en-IN"/>
        </w:rPr>
        <w:t xml:space="preserve"> and production reliability. The results validate the potential of digital twins as practical, scalable solutions for energy-aware manufacturing operations. Furthermore, aligning the framework with standards such as IEC 62832, OPC UA, and ISO 50001 ensures interoperability and facilitates adoption across diverse industrial settings. Despite the promising outcomes, challenges remain regarding initial infrastructure investment, data quality, and computational requirements.</w:t>
      </w:r>
    </w:p>
    <w:p w14:paraId="4FE72E49" w14:textId="77777777" w:rsidR="00B0264C" w:rsidRPr="00B0264C" w:rsidRDefault="00B0264C" w:rsidP="00B0264C">
      <w:pPr>
        <w:rPr>
          <w:rFonts w:asciiTheme="majorHAnsi" w:hAnsiTheme="majorHAnsi" w:cstheme="majorHAnsi"/>
          <w:b/>
          <w:bCs/>
          <w:color w:val="1F497D" w:themeColor="text2"/>
          <w:sz w:val="28"/>
          <w:szCs w:val="28"/>
          <w:lang w:val="en-IN"/>
        </w:rPr>
      </w:pPr>
      <w:r w:rsidRPr="00B0264C">
        <w:rPr>
          <w:rFonts w:asciiTheme="majorHAnsi" w:hAnsiTheme="majorHAnsi" w:cstheme="majorHAnsi"/>
          <w:b/>
          <w:bCs/>
          <w:color w:val="1F497D" w:themeColor="text2"/>
          <w:sz w:val="28"/>
          <w:szCs w:val="28"/>
          <w:lang w:val="en-IN"/>
        </w:rPr>
        <w:t>VII. Future Work</w:t>
      </w:r>
    </w:p>
    <w:p w14:paraId="72E7975C" w14:textId="7DDFF152" w:rsidR="00B0264C" w:rsidRPr="00B0264C" w:rsidRDefault="00B0264C" w:rsidP="00B0264C">
      <w:pPr>
        <w:rPr>
          <w:lang w:val="en-IN"/>
        </w:rPr>
      </w:pPr>
      <w:r w:rsidRPr="00B0264C">
        <w:rPr>
          <w:lang w:val="en-IN"/>
        </w:rPr>
        <w:t xml:space="preserve">Future research will focus on extending the digital twin framework toward multi-objective </w:t>
      </w:r>
      <w:r>
        <w:rPr>
          <w:lang w:val="en-IN"/>
        </w:rPr>
        <w:t>optimisation</w:t>
      </w:r>
      <w:r w:rsidRPr="00B0264C">
        <w:rPr>
          <w:lang w:val="en-IN"/>
        </w:rPr>
        <w:t xml:space="preserve">, balancing energy efficiency with production speed, product quality, and cost. Incorporating federated learning techniques will allow multiple factories to share knowledge without exposing sensitive data, enabling cross-site energy </w:t>
      </w:r>
      <w:r>
        <w:rPr>
          <w:lang w:val="en-IN"/>
        </w:rPr>
        <w:t>optimisation</w:t>
      </w:r>
      <w:r w:rsidRPr="00B0264C">
        <w:rPr>
          <w:lang w:val="en-IN"/>
        </w:rPr>
        <w:t xml:space="preserve"> at scale. Expanding the scope of the twin to include supply chain energy flows will provide a holistic view of manufacturing sustainability. Additionally, integrating renewable energy </w:t>
      </w:r>
      <w:r w:rsidRPr="00B0264C">
        <w:rPr>
          <w:lang w:val="en-IN"/>
        </w:rPr>
        <w:lastRenderedPageBreak/>
        <w:t xml:space="preserve">forecasting and energy storage management within the twin can further enhance resilience and reduce dependency on fossil fuels. Advances in safe reinforcement learning and uncertainty quantification will also be critical in ensuring reliable, explainable, and trustworthy </w:t>
      </w:r>
      <w:r>
        <w:rPr>
          <w:lang w:val="en-IN"/>
        </w:rPr>
        <w:t>optimisation</w:t>
      </w:r>
      <w:r w:rsidRPr="00B0264C">
        <w:rPr>
          <w:lang w:val="en-IN"/>
        </w:rPr>
        <w:t xml:space="preserve"> policies in real-world deployments.</w:t>
      </w:r>
    </w:p>
    <w:p w14:paraId="6048D6E8" w14:textId="77777777" w:rsidR="00B0264C" w:rsidRDefault="00B0264C" w:rsidP="00532361"/>
    <w:sdt>
      <w:sdtPr>
        <w:rPr>
          <w:rFonts w:asciiTheme="minorHAnsi" w:eastAsiaTheme="minorEastAsia" w:hAnsiTheme="minorHAnsi" w:cstheme="minorBidi"/>
          <w:b w:val="0"/>
          <w:bCs w:val="0"/>
          <w:color w:val="auto"/>
          <w:sz w:val="22"/>
          <w:szCs w:val="22"/>
        </w:rPr>
        <w:id w:val="-759764517"/>
        <w:docPartObj>
          <w:docPartGallery w:val="Bibliographies"/>
          <w:docPartUnique/>
        </w:docPartObj>
      </w:sdtPr>
      <w:sdtContent>
        <w:p w14:paraId="3ED212A2" w14:textId="77777777" w:rsidR="00B77704" w:rsidRDefault="00B77704" w:rsidP="00B77704">
          <w:pPr>
            <w:pStyle w:val="Heading1"/>
          </w:pPr>
        </w:p>
        <w:sdt>
          <w:sdtPr>
            <w:rPr>
              <w:rFonts w:asciiTheme="minorHAnsi" w:eastAsiaTheme="minorEastAsia" w:hAnsiTheme="minorHAnsi" w:cstheme="minorBidi"/>
              <w:b w:val="0"/>
              <w:bCs w:val="0"/>
              <w:color w:val="auto"/>
              <w:sz w:val="22"/>
              <w:szCs w:val="22"/>
            </w:rPr>
            <w:id w:val="1302426966"/>
            <w:docPartObj>
              <w:docPartGallery w:val="Bibliographies"/>
              <w:docPartUnique/>
            </w:docPartObj>
          </w:sdtPr>
          <w:sdtContent>
            <w:p w14:paraId="1C21AB38" w14:textId="45025A2E" w:rsidR="00B77704" w:rsidRDefault="00B77704">
              <w:pPr>
                <w:pStyle w:val="Heading1"/>
              </w:pPr>
              <w:r>
                <w:t>References</w:t>
              </w:r>
            </w:p>
            <w:sdt>
              <w:sdtPr>
                <w:id w:val="-573587230"/>
                <w:bibliography/>
              </w:sdtPr>
              <w:sdtContent>
                <w:p w14:paraId="418089A2" w14:textId="77777777" w:rsidR="00B77704" w:rsidRDefault="00B7770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167"/>
                  </w:tblGrid>
                  <w:tr w:rsidR="00B77704" w14:paraId="1A04D8F5" w14:textId="77777777">
                    <w:trPr>
                      <w:divId w:val="853109306"/>
                      <w:tblCellSpacing w:w="15" w:type="dxa"/>
                    </w:trPr>
                    <w:tc>
                      <w:tcPr>
                        <w:tcW w:w="50" w:type="pct"/>
                        <w:hideMark/>
                      </w:tcPr>
                      <w:p w14:paraId="58368AEB" w14:textId="2280C7DF" w:rsidR="00B77704" w:rsidRDefault="00B77704">
                        <w:pPr>
                          <w:pStyle w:val="Bibliography"/>
                          <w:rPr>
                            <w:noProof/>
                            <w:sz w:val="24"/>
                            <w:szCs w:val="24"/>
                          </w:rPr>
                        </w:pPr>
                        <w:r>
                          <w:rPr>
                            <w:noProof/>
                          </w:rPr>
                          <w:t xml:space="preserve">[1] </w:t>
                        </w:r>
                      </w:p>
                    </w:tc>
                    <w:tc>
                      <w:tcPr>
                        <w:tcW w:w="0" w:type="auto"/>
                        <w:hideMark/>
                      </w:tcPr>
                      <w:p w14:paraId="3F7C2E31" w14:textId="2B1C24F6" w:rsidR="00B77704" w:rsidRDefault="00B77704">
                        <w:pPr>
                          <w:pStyle w:val="Bibliography"/>
                          <w:rPr>
                            <w:noProof/>
                          </w:rPr>
                        </w:pPr>
                        <w:r>
                          <w:rPr>
                            <w:noProof/>
                          </w:rPr>
                          <w:t xml:space="preserve">M. Grieves and J. Vickers, "Digital Twin: Mitigating Unpredictable, Undesirable Emergent Behaviour in Complex Systems," Cham, Springer International Publishing, 2017. </w:t>
                        </w:r>
                      </w:p>
                    </w:tc>
                  </w:tr>
                  <w:tr w:rsidR="00B77704" w14:paraId="42FC7A10" w14:textId="77777777">
                    <w:trPr>
                      <w:divId w:val="853109306"/>
                      <w:tblCellSpacing w:w="15" w:type="dxa"/>
                    </w:trPr>
                    <w:tc>
                      <w:tcPr>
                        <w:tcW w:w="50" w:type="pct"/>
                        <w:hideMark/>
                      </w:tcPr>
                      <w:p w14:paraId="4703E999" w14:textId="77777777" w:rsidR="00B77704" w:rsidRDefault="00B77704">
                        <w:pPr>
                          <w:pStyle w:val="Bibliography"/>
                          <w:rPr>
                            <w:noProof/>
                          </w:rPr>
                        </w:pPr>
                        <w:r>
                          <w:rPr>
                            <w:noProof/>
                          </w:rPr>
                          <w:t xml:space="preserve">[2] </w:t>
                        </w:r>
                      </w:p>
                    </w:tc>
                    <w:tc>
                      <w:tcPr>
                        <w:tcW w:w="0" w:type="auto"/>
                        <w:hideMark/>
                      </w:tcPr>
                      <w:p w14:paraId="7C256E11" w14:textId="77777777" w:rsidR="00B77704" w:rsidRDefault="00B77704">
                        <w:pPr>
                          <w:pStyle w:val="Bibliography"/>
                          <w:rPr>
                            <w:noProof/>
                          </w:rPr>
                        </w:pPr>
                        <w:r>
                          <w:rPr>
                            <w:noProof/>
                          </w:rPr>
                          <w:t>T. F, Q. Q, W. L and N. A, "Digital Twins and Cyber–Physical Systems toward Smart Manufacturing and Industry 4.0: Correlation and Comparison," Engineering, 2019.</w:t>
                        </w:r>
                      </w:p>
                    </w:tc>
                  </w:tr>
                  <w:tr w:rsidR="00B77704" w14:paraId="7ED3C922" w14:textId="77777777">
                    <w:trPr>
                      <w:divId w:val="853109306"/>
                      <w:tblCellSpacing w:w="15" w:type="dxa"/>
                    </w:trPr>
                    <w:tc>
                      <w:tcPr>
                        <w:tcW w:w="50" w:type="pct"/>
                        <w:hideMark/>
                      </w:tcPr>
                      <w:p w14:paraId="6AE38343" w14:textId="77777777" w:rsidR="00B77704" w:rsidRDefault="00B77704">
                        <w:pPr>
                          <w:pStyle w:val="Bibliography"/>
                          <w:rPr>
                            <w:noProof/>
                          </w:rPr>
                        </w:pPr>
                        <w:r>
                          <w:rPr>
                            <w:noProof/>
                          </w:rPr>
                          <w:t xml:space="preserve">[3] </w:t>
                        </w:r>
                      </w:p>
                    </w:tc>
                    <w:tc>
                      <w:tcPr>
                        <w:tcW w:w="0" w:type="auto"/>
                        <w:hideMark/>
                      </w:tcPr>
                      <w:p w14:paraId="352F9E2C" w14:textId="77777777" w:rsidR="00B77704" w:rsidRDefault="00B77704">
                        <w:pPr>
                          <w:pStyle w:val="Bibliography"/>
                          <w:rPr>
                            <w:noProof/>
                          </w:rPr>
                        </w:pPr>
                        <w:r>
                          <w:rPr>
                            <w:noProof/>
                          </w:rPr>
                          <w:t>O. Foundation, "OPC UA—Interoperability for Industrie 4.0 and IoT (IEC 62541)," brochure, 2023.</w:t>
                        </w:r>
                      </w:p>
                    </w:tc>
                  </w:tr>
                  <w:tr w:rsidR="00B77704" w14:paraId="116EA2B9" w14:textId="77777777">
                    <w:trPr>
                      <w:divId w:val="853109306"/>
                      <w:tblCellSpacing w:w="15" w:type="dxa"/>
                    </w:trPr>
                    <w:tc>
                      <w:tcPr>
                        <w:tcW w:w="50" w:type="pct"/>
                        <w:hideMark/>
                      </w:tcPr>
                      <w:p w14:paraId="1DD824AD" w14:textId="77777777" w:rsidR="00B77704" w:rsidRDefault="00B77704">
                        <w:pPr>
                          <w:pStyle w:val="Bibliography"/>
                          <w:rPr>
                            <w:noProof/>
                          </w:rPr>
                        </w:pPr>
                        <w:r>
                          <w:rPr>
                            <w:noProof/>
                          </w:rPr>
                          <w:t xml:space="preserve">[4] </w:t>
                        </w:r>
                      </w:p>
                    </w:tc>
                    <w:tc>
                      <w:tcPr>
                        <w:tcW w:w="0" w:type="auto"/>
                        <w:hideMark/>
                      </w:tcPr>
                      <w:p w14:paraId="0803B620" w14:textId="77777777" w:rsidR="00B77704" w:rsidRDefault="00B77704">
                        <w:pPr>
                          <w:pStyle w:val="Bibliography"/>
                          <w:rPr>
                            <w:noProof/>
                          </w:rPr>
                        </w:pPr>
                        <w:r>
                          <w:rPr>
                            <w:noProof/>
                          </w:rPr>
                          <w:t>IEC, "IEC 62832-1:2020 Digital Factory—General principles," 2020.</w:t>
                        </w:r>
                      </w:p>
                    </w:tc>
                  </w:tr>
                  <w:tr w:rsidR="00B77704" w14:paraId="43DC1C51" w14:textId="77777777">
                    <w:trPr>
                      <w:divId w:val="853109306"/>
                      <w:tblCellSpacing w:w="15" w:type="dxa"/>
                    </w:trPr>
                    <w:tc>
                      <w:tcPr>
                        <w:tcW w:w="50" w:type="pct"/>
                        <w:hideMark/>
                      </w:tcPr>
                      <w:p w14:paraId="5C65566B" w14:textId="77777777" w:rsidR="00B77704" w:rsidRDefault="00B77704">
                        <w:pPr>
                          <w:pStyle w:val="Bibliography"/>
                          <w:rPr>
                            <w:noProof/>
                          </w:rPr>
                        </w:pPr>
                        <w:r>
                          <w:rPr>
                            <w:noProof/>
                          </w:rPr>
                          <w:t xml:space="preserve">[5] </w:t>
                        </w:r>
                      </w:p>
                    </w:tc>
                    <w:tc>
                      <w:tcPr>
                        <w:tcW w:w="0" w:type="auto"/>
                        <w:hideMark/>
                      </w:tcPr>
                      <w:p w14:paraId="36B11E17" w14:textId="77777777" w:rsidR="00B77704" w:rsidRDefault="00B77704">
                        <w:pPr>
                          <w:pStyle w:val="Bibliography"/>
                          <w:rPr>
                            <w:noProof/>
                          </w:rPr>
                        </w:pPr>
                        <w:r>
                          <w:rPr>
                            <w:noProof/>
                          </w:rPr>
                          <w:t>J. V. S. d. A. e. al., "Energy Digital Twin applications: A review," Renewable and Sustainable Energy Reviews, 2023.</w:t>
                        </w:r>
                      </w:p>
                    </w:tc>
                  </w:tr>
                  <w:tr w:rsidR="00B77704" w14:paraId="24DBCB72" w14:textId="77777777">
                    <w:trPr>
                      <w:divId w:val="853109306"/>
                      <w:tblCellSpacing w:w="15" w:type="dxa"/>
                    </w:trPr>
                    <w:tc>
                      <w:tcPr>
                        <w:tcW w:w="50" w:type="pct"/>
                        <w:hideMark/>
                      </w:tcPr>
                      <w:p w14:paraId="6E371F99" w14:textId="77777777" w:rsidR="00B77704" w:rsidRDefault="00B77704">
                        <w:pPr>
                          <w:pStyle w:val="Bibliography"/>
                          <w:rPr>
                            <w:noProof/>
                          </w:rPr>
                        </w:pPr>
                        <w:r>
                          <w:rPr>
                            <w:noProof/>
                          </w:rPr>
                          <w:t xml:space="preserve">[6] </w:t>
                        </w:r>
                      </w:p>
                    </w:tc>
                    <w:tc>
                      <w:tcPr>
                        <w:tcW w:w="0" w:type="auto"/>
                        <w:hideMark/>
                      </w:tcPr>
                      <w:p w14:paraId="53C4180F" w14:textId="77777777" w:rsidR="00B77704" w:rsidRDefault="00B77704">
                        <w:pPr>
                          <w:pStyle w:val="Bibliography"/>
                          <w:rPr>
                            <w:noProof/>
                          </w:rPr>
                        </w:pPr>
                        <w:r>
                          <w:rPr>
                            <w:noProof/>
                          </w:rPr>
                          <w:t>N. Mohamed, S. Lazarova-Molnar and J. Al-Jaroodi, "Digital Twins for Energy-Efficient Manufacturing," IEEE SysCon, 2023.</w:t>
                        </w:r>
                      </w:p>
                    </w:tc>
                  </w:tr>
                  <w:tr w:rsidR="00B77704" w14:paraId="40B7B23B" w14:textId="77777777">
                    <w:trPr>
                      <w:divId w:val="853109306"/>
                      <w:tblCellSpacing w:w="15" w:type="dxa"/>
                    </w:trPr>
                    <w:tc>
                      <w:tcPr>
                        <w:tcW w:w="50" w:type="pct"/>
                        <w:hideMark/>
                      </w:tcPr>
                      <w:p w14:paraId="1F189FA5" w14:textId="77777777" w:rsidR="00B77704" w:rsidRDefault="00B77704">
                        <w:pPr>
                          <w:pStyle w:val="Bibliography"/>
                          <w:rPr>
                            <w:noProof/>
                          </w:rPr>
                        </w:pPr>
                        <w:r>
                          <w:rPr>
                            <w:noProof/>
                          </w:rPr>
                          <w:t xml:space="preserve">[7] </w:t>
                        </w:r>
                      </w:p>
                    </w:tc>
                    <w:tc>
                      <w:tcPr>
                        <w:tcW w:w="0" w:type="auto"/>
                        <w:hideMark/>
                      </w:tcPr>
                      <w:p w14:paraId="0EB13E82" w14:textId="77777777" w:rsidR="00B77704" w:rsidRDefault="00B77704">
                        <w:pPr>
                          <w:pStyle w:val="Bibliography"/>
                          <w:rPr>
                            <w:noProof/>
                          </w:rPr>
                        </w:pPr>
                        <w:r>
                          <w:rPr>
                            <w:noProof/>
                          </w:rPr>
                          <w:t>E. C. e. al, "Energy management and Industry 4.0: Analysis of the digital transformation of energy efficiency programs," Applied Energy, 2025.</w:t>
                        </w:r>
                      </w:p>
                    </w:tc>
                  </w:tr>
                  <w:tr w:rsidR="00B77704" w14:paraId="12760C6D" w14:textId="77777777">
                    <w:trPr>
                      <w:divId w:val="853109306"/>
                      <w:tblCellSpacing w:w="15" w:type="dxa"/>
                    </w:trPr>
                    <w:tc>
                      <w:tcPr>
                        <w:tcW w:w="50" w:type="pct"/>
                        <w:hideMark/>
                      </w:tcPr>
                      <w:p w14:paraId="623D5354" w14:textId="77777777" w:rsidR="00B77704" w:rsidRDefault="00B77704">
                        <w:pPr>
                          <w:pStyle w:val="Bibliography"/>
                          <w:rPr>
                            <w:noProof/>
                          </w:rPr>
                        </w:pPr>
                        <w:r>
                          <w:rPr>
                            <w:noProof/>
                          </w:rPr>
                          <w:t xml:space="preserve">[8] </w:t>
                        </w:r>
                      </w:p>
                    </w:tc>
                    <w:tc>
                      <w:tcPr>
                        <w:tcW w:w="0" w:type="auto"/>
                        <w:hideMark/>
                      </w:tcPr>
                      <w:p w14:paraId="65B2ABCF" w14:textId="77777777" w:rsidR="00B77704" w:rsidRDefault="00B77704">
                        <w:pPr>
                          <w:pStyle w:val="Bibliography"/>
                          <w:rPr>
                            <w:noProof/>
                          </w:rPr>
                        </w:pPr>
                        <w:r>
                          <w:rPr>
                            <w:noProof/>
                          </w:rPr>
                          <w:t>S. Lazarova-Molnar, A. Bilali and L. Chelbi, "A Vision for Advancing Digital Twins Intelligence," VISIGRAPP/SCITEPRESS, 2024.</w:t>
                        </w:r>
                      </w:p>
                    </w:tc>
                  </w:tr>
                  <w:tr w:rsidR="00B77704" w14:paraId="346D28BA" w14:textId="77777777">
                    <w:trPr>
                      <w:divId w:val="853109306"/>
                      <w:tblCellSpacing w:w="15" w:type="dxa"/>
                    </w:trPr>
                    <w:tc>
                      <w:tcPr>
                        <w:tcW w:w="50" w:type="pct"/>
                        <w:hideMark/>
                      </w:tcPr>
                      <w:p w14:paraId="55C77E79" w14:textId="77777777" w:rsidR="00B77704" w:rsidRDefault="00B77704">
                        <w:pPr>
                          <w:pStyle w:val="Bibliography"/>
                          <w:rPr>
                            <w:noProof/>
                          </w:rPr>
                        </w:pPr>
                        <w:r>
                          <w:rPr>
                            <w:noProof/>
                          </w:rPr>
                          <w:t xml:space="preserve">[9] </w:t>
                        </w:r>
                      </w:p>
                    </w:tc>
                    <w:tc>
                      <w:tcPr>
                        <w:tcW w:w="0" w:type="auto"/>
                        <w:hideMark/>
                      </w:tcPr>
                      <w:p w14:paraId="614BCFBB" w14:textId="77777777" w:rsidR="00B77704" w:rsidRDefault="00B77704">
                        <w:pPr>
                          <w:pStyle w:val="Bibliography"/>
                          <w:rPr>
                            <w:noProof/>
                          </w:rPr>
                        </w:pPr>
                        <w:r>
                          <w:rPr>
                            <w:noProof/>
                          </w:rPr>
                          <w:t>G. R. e. al., "Integrating Digital Twins and Cyber-Physical Systems for Flexible Energy Management in Manufacturing Facilities: A Conceptual Framework," Electronics, 2024.</w:t>
                        </w:r>
                      </w:p>
                    </w:tc>
                  </w:tr>
                  <w:tr w:rsidR="00B77704" w14:paraId="1A8314E1" w14:textId="77777777">
                    <w:trPr>
                      <w:divId w:val="853109306"/>
                      <w:tblCellSpacing w:w="15" w:type="dxa"/>
                    </w:trPr>
                    <w:tc>
                      <w:tcPr>
                        <w:tcW w:w="50" w:type="pct"/>
                        <w:hideMark/>
                      </w:tcPr>
                      <w:p w14:paraId="5AC041B5" w14:textId="77777777" w:rsidR="00B77704" w:rsidRDefault="00B77704">
                        <w:pPr>
                          <w:pStyle w:val="Bibliography"/>
                          <w:rPr>
                            <w:noProof/>
                          </w:rPr>
                        </w:pPr>
                        <w:r>
                          <w:rPr>
                            <w:noProof/>
                          </w:rPr>
                          <w:t xml:space="preserve">[10] </w:t>
                        </w:r>
                      </w:p>
                    </w:tc>
                    <w:tc>
                      <w:tcPr>
                        <w:tcW w:w="0" w:type="auto"/>
                        <w:hideMark/>
                      </w:tcPr>
                      <w:p w14:paraId="1CA5AA4D" w14:textId="77777777" w:rsidR="00B77704" w:rsidRDefault="00B77704">
                        <w:pPr>
                          <w:pStyle w:val="Bibliography"/>
                          <w:rPr>
                            <w:noProof/>
                          </w:rPr>
                        </w:pPr>
                        <w:r>
                          <w:rPr>
                            <w:noProof/>
                          </w:rPr>
                          <w:t>E. C. e. al., "Energy management and Industry 4.0: Analysis of the digital transformation of energy efficiency programs," Applied Energy, 2025.</w:t>
                        </w:r>
                      </w:p>
                    </w:tc>
                  </w:tr>
                  <w:tr w:rsidR="00B77704" w14:paraId="5158AAD6" w14:textId="77777777">
                    <w:trPr>
                      <w:divId w:val="853109306"/>
                      <w:tblCellSpacing w:w="15" w:type="dxa"/>
                    </w:trPr>
                    <w:tc>
                      <w:tcPr>
                        <w:tcW w:w="50" w:type="pct"/>
                        <w:hideMark/>
                      </w:tcPr>
                      <w:p w14:paraId="31C4CB77" w14:textId="77777777" w:rsidR="00B77704" w:rsidRDefault="00B77704">
                        <w:pPr>
                          <w:pStyle w:val="Bibliography"/>
                          <w:rPr>
                            <w:noProof/>
                          </w:rPr>
                        </w:pPr>
                        <w:r>
                          <w:rPr>
                            <w:noProof/>
                          </w:rPr>
                          <w:lastRenderedPageBreak/>
                          <w:t xml:space="preserve">[11] </w:t>
                        </w:r>
                      </w:p>
                    </w:tc>
                    <w:tc>
                      <w:tcPr>
                        <w:tcW w:w="0" w:type="auto"/>
                        <w:hideMark/>
                      </w:tcPr>
                      <w:p w14:paraId="65BE51E5" w14:textId="77777777" w:rsidR="00B77704" w:rsidRDefault="00B77704">
                        <w:pPr>
                          <w:pStyle w:val="Bibliography"/>
                          <w:rPr>
                            <w:noProof/>
                          </w:rPr>
                        </w:pPr>
                        <w:r>
                          <w:rPr>
                            <w:noProof/>
                          </w:rPr>
                          <w:t>D. Bousnina and G. Guerassimoff, "Optimal energy management in smart energy systems: A deep reinforcement learning approach and a digital twin case-study," Smart Energy, 2024.</w:t>
                        </w:r>
                      </w:p>
                    </w:tc>
                  </w:tr>
                  <w:tr w:rsidR="00B77704" w14:paraId="0E1916A7" w14:textId="77777777">
                    <w:trPr>
                      <w:divId w:val="853109306"/>
                      <w:tblCellSpacing w:w="15" w:type="dxa"/>
                    </w:trPr>
                    <w:tc>
                      <w:tcPr>
                        <w:tcW w:w="50" w:type="pct"/>
                        <w:hideMark/>
                      </w:tcPr>
                      <w:p w14:paraId="519EBC1E" w14:textId="77777777" w:rsidR="00B77704" w:rsidRDefault="00B77704">
                        <w:pPr>
                          <w:pStyle w:val="Bibliography"/>
                          <w:rPr>
                            <w:noProof/>
                          </w:rPr>
                        </w:pPr>
                        <w:r>
                          <w:rPr>
                            <w:noProof/>
                          </w:rPr>
                          <w:t xml:space="preserve">[12] </w:t>
                        </w:r>
                      </w:p>
                    </w:tc>
                    <w:tc>
                      <w:tcPr>
                        <w:tcW w:w="0" w:type="auto"/>
                        <w:hideMark/>
                      </w:tcPr>
                      <w:p w14:paraId="51A3A5B6" w14:textId="77777777" w:rsidR="00B77704" w:rsidRDefault="00B77704">
                        <w:pPr>
                          <w:pStyle w:val="Bibliography"/>
                          <w:rPr>
                            <w:noProof/>
                          </w:rPr>
                        </w:pPr>
                        <w:r>
                          <w:rPr>
                            <w:noProof/>
                          </w:rPr>
                          <w:t>D. V. e. al., "Next-Level Energy Management in Manufacturing: Facility-Level Energy Digital Twin Framework Based on Machine Learning and Automated Data Collection," Energies, 2025.</w:t>
                        </w:r>
                      </w:p>
                    </w:tc>
                  </w:tr>
                </w:tbl>
                <w:p w14:paraId="7386CED8" w14:textId="77777777" w:rsidR="00B77704" w:rsidRDefault="00B77704">
                  <w:pPr>
                    <w:divId w:val="853109306"/>
                    <w:rPr>
                      <w:rFonts w:eastAsia="Times New Roman"/>
                      <w:noProof/>
                    </w:rPr>
                  </w:pPr>
                </w:p>
                <w:p w14:paraId="52B23911" w14:textId="02CB1C1E" w:rsidR="00B77704" w:rsidRDefault="00B77704">
                  <w:r>
                    <w:rPr>
                      <w:b/>
                      <w:bCs/>
                      <w:noProof/>
                    </w:rPr>
                    <w:fldChar w:fldCharType="end"/>
                  </w:r>
                </w:p>
              </w:sdtContent>
            </w:sdt>
          </w:sdtContent>
        </w:sdt>
        <w:p w14:paraId="1A2121C8" w14:textId="2832C591" w:rsidR="00B77704" w:rsidRDefault="00B77704" w:rsidP="00B77704">
          <w:pPr>
            <w:pStyle w:val="Heading1"/>
          </w:pPr>
        </w:p>
        <w:p w14:paraId="52DA41F4" w14:textId="6ABB7DF7" w:rsidR="00532361" w:rsidRDefault="00000000" w:rsidP="00532361"/>
      </w:sdtContent>
    </w:sdt>
    <w:sectPr w:rsidR="005323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F04C35"/>
    <w:multiLevelType w:val="multilevel"/>
    <w:tmpl w:val="C7D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114559">
    <w:abstractNumId w:val="8"/>
  </w:num>
  <w:num w:numId="2" w16cid:durableId="352615743">
    <w:abstractNumId w:val="6"/>
  </w:num>
  <w:num w:numId="3" w16cid:durableId="1649477796">
    <w:abstractNumId w:val="5"/>
  </w:num>
  <w:num w:numId="4" w16cid:durableId="872814435">
    <w:abstractNumId w:val="4"/>
  </w:num>
  <w:num w:numId="5" w16cid:durableId="1110855046">
    <w:abstractNumId w:val="7"/>
  </w:num>
  <w:num w:numId="6" w16cid:durableId="1899323070">
    <w:abstractNumId w:val="3"/>
  </w:num>
  <w:num w:numId="7" w16cid:durableId="17971944">
    <w:abstractNumId w:val="2"/>
  </w:num>
  <w:num w:numId="8" w16cid:durableId="227345813">
    <w:abstractNumId w:val="1"/>
  </w:num>
  <w:num w:numId="9" w16cid:durableId="1922375644">
    <w:abstractNumId w:val="0"/>
  </w:num>
  <w:num w:numId="10" w16cid:durableId="276451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769"/>
    <w:rsid w:val="0015074B"/>
    <w:rsid w:val="00280BAF"/>
    <w:rsid w:val="0029639D"/>
    <w:rsid w:val="00326F90"/>
    <w:rsid w:val="00457A3A"/>
    <w:rsid w:val="00532361"/>
    <w:rsid w:val="006A7072"/>
    <w:rsid w:val="00861D65"/>
    <w:rsid w:val="00937EB1"/>
    <w:rsid w:val="00AA1D8D"/>
    <w:rsid w:val="00AE1093"/>
    <w:rsid w:val="00B0264C"/>
    <w:rsid w:val="00B05846"/>
    <w:rsid w:val="00B47730"/>
    <w:rsid w:val="00B77704"/>
    <w:rsid w:val="00CB0664"/>
    <w:rsid w:val="00D4748E"/>
    <w:rsid w:val="00F47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E4BAFC"/>
  <w14:defaultImageDpi w14:val="300"/>
  <w15:docId w15:val="{20886516-B607-49E1-AA7E-53E633B37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1093"/>
    <w:rPr>
      <w:color w:val="0000FF" w:themeColor="hyperlink"/>
      <w:u w:val="single"/>
    </w:rPr>
  </w:style>
  <w:style w:type="character" w:styleId="UnresolvedMention">
    <w:name w:val="Unresolved Mention"/>
    <w:basedOn w:val="DefaultParagraphFont"/>
    <w:uiPriority w:val="99"/>
    <w:semiHidden/>
    <w:unhideWhenUsed/>
    <w:rsid w:val="00AE1093"/>
    <w:rPr>
      <w:color w:val="605E5C"/>
      <w:shd w:val="clear" w:color="auto" w:fill="E1DFDD"/>
    </w:rPr>
  </w:style>
  <w:style w:type="character" w:styleId="FollowedHyperlink">
    <w:name w:val="FollowedHyperlink"/>
    <w:basedOn w:val="DefaultParagraphFont"/>
    <w:uiPriority w:val="99"/>
    <w:semiHidden/>
    <w:unhideWhenUsed/>
    <w:rsid w:val="00AE1093"/>
    <w:rPr>
      <w:color w:val="800080" w:themeColor="followedHyperlink"/>
      <w:u w:val="single"/>
    </w:rPr>
  </w:style>
  <w:style w:type="paragraph" w:styleId="Bibliography">
    <w:name w:val="Bibliography"/>
    <w:basedOn w:val="Normal"/>
    <w:next w:val="Normal"/>
    <w:uiPriority w:val="37"/>
    <w:unhideWhenUsed/>
    <w:rsid w:val="00937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900">
      <w:bodyDiv w:val="1"/>
      <w:marLeft w:val="0"/>
      <w:marRight w:val="0"/>
      <w:marTop w:val="0"/>
      <w:marBottom w:val="0"/>
      <w:divBdr>
        <w:top w:val="none" w:sz="0" w:space="0" w:color="auto"/>
        <w:left w:val="none" w:sz="0" w:space="0" w:color="auto"/>
        <w:bottom w:val="none" w:sz="0" w:space="0" w:color="auto"/>
        <w:right w:val="none" w:sz="0" w:space="0" w:color="auto"/>
      </w:divBdr>
    </w:div>
    <w:div w:id="31269942">
      <w:bodyDiv w:val="1"/>
      <w:marLeft w:val="0"/>
      <w:marRight w:val="0"/>
      <w:marTop w:val="0"/>
      <w:marBottom w:val="0"/>
      <w:divBdr>
        <w:top w:val="none" w:sz="0" w:space="0" w:color="auto"/>
        <w:left w:val="none" w:sz="0" w:space="0" w:color="auto"/>
        <w:bottom w:val="none" w:sz="0" w:space="0" w:color="auto"/>
        <w:right w:val="none" w:sz="0" w:space="0" w:color="auto"/>
      </w:divBdr>
    </w:div>
    <w:div w:id="47262205">
      <w:bodyDiv w:val="1"/>
      <w:marLeft w:val="0"/>
      <w:marRight w:val="0"/>
      <w:marTop w:val="0"/>
      <w:marBottom w:val="0"/>
      <w:divBdr>
        <w:top w:val="none" w:sz="0" w:space="0" w:color="auto"/>
        <w:left w:val="none" w:sz="0" w:space="0" w:color="auto"/>
        <w:bottom w:val="none" w:sz="0" w:space="0" w:color="auto"/>
        <w:right w:val="none" w:sz="0" w:space="0" w:color="auto"/>
      </w:divBdr>
    </w:div>
    <w:div w:id="148984681">
      <w:bodyDiv w:val="1"/>
      <w:marLeft w:val="0"/>
      <w:marRight w:val="0"/>
      <w:marTop w:val="0"/>
      <w:marBottom w:val="0"/>
      <w:divBdr>
        <w:top w:val="none" w:sz="0" w:space="0" w:color="auto"/>
        <w:left w:val="none" w:sz="0" w:space="0" w:color="auto"/>
        <w:bottom w:val="none" w:sz="0" w:space="0" w:color="auto"/>
        <w:right w:val="none" w:sz="0" w:space="0" w:color="auto"/>
      </w:divBdr>
    </w:div>
    <w:div w:id="226262379">
      <w:bodyDiv w:val="1"/>
      <w:marLeft w:val="0"/>
      <w:marRight w:val="0"/>
      <w:marTop w:val="0"/>
      <w:marBottom w:val="0"/>
      <w:divBdr>
        <w:top w:val="none" w:sz="0" w:space="0" w:color="auto"/>
        <w:left w:val="none" w:sz="0" w:space="0" w:color="auto"/>
        <w:bottom w:val="none" w:sz="0" w:space="0" w:color="auto"/>
        <w:right w:val="none" w:sz="0" w:space="0" w:color="auto"/>
      </w:divBdr>
    </w:div>
    <w:div w:id="232396739">
      <w:bodyDiv w:val="1"/>
      <w:marLeft w:val="0"/>
      <w:marRight w:val="0"/>
      <w:marTop w:val="0"/>
      <w:marBottom w:val="0"/>
      <w:divBdr>
        <w:top w:val="none" w:sz="0" w:space="0" w:color="auto"/>
        <w:left w:val="none" w:sz="0" w:space="0" w:color="auto"/>
        <w:bottom w:val="none" w:sz="0" w:space="0" w:color="auto"/>
        <w:right w:val="none" w:sz="0" w:space="0" w:color="auto"/>
      </w:divBdr>
    </w:div>
    <w:div w:id="258561832">
      <w:bodyDiv w:val="1"/>
      <w:marLeft w:val="0"/>
      <w:marRight w:val="0"/>
      <w:marTop w:val="0"/>
      <w:marBottom w:val="0"/>
      <w:divBdr>
        <w:top w:val="none" w:sz="0" w:space="0" w:color="auto"/>
        <w:left w:val="none" w:sz="0" w:space="0" w:color="auto"/>
        <w:bottom w:val="none" w:sz="0" w:space="0" w:color="auto"/>
        <w:right w:val="none" w:sz="0" w:space="0" w:color="auto"/>
      </w:divBdr>
    </w:div>
    <w:div w:id="334263069">
      <w:bodyDiv w:val="1"/>
      <w:marLeft w:val="0"/>
      <w:marRight w:val="0"/>
      <w:marTop w:val="0"/>
      <w:marBottom w:val="0"/>
      <w:divBdr>
        <w:top w:val="none" w:sz="0" w:space="0" w:color="auto"/>
        <w:left w:val="none" w:sz="0" w:space="0" w:color="auto"/>
        <w:bottom w:val="none" w:sz="0" w:space="0" w:color="auto"/>
        <w:right w:val="none" w:sz="0" w:space="0" w:color="auto"/>
      </w:divBdr>
    </w:div>
    <w:div w:id="370688400">
      <w:bodyDiv w:val="1"/>
      <w:marLeft w:val="0"/>
      <w:marRight w:val="0"/>
      <w:marTop w:val="0"/>
      <w:marBottom w:val="0"/>
      <w:divBdr>
        <w:top w:val="none" w:sz="0" w:space="0" w:color="auto"/>
        <w:left w:val="none" w:sz="0" w:space="0" w:color="auto"/>
        <w:bottom w:val="none" w:sz="0" w:space="0" w:color="auto"/>
        <w:right w:val="none" w:sz="0" w:space="0" w:color="auto"/>
      </w:divBdr>
    </w:div>
    <w:div w:id="445736659">
      <w:bodyDiv w:val="1"/>
      <w:marLeft w:val="0"/>
      <w:marRight w:val="0"/>
      <w:marTop w:val="0"/>
      <w:marBottom w:val="0"/>
      <w:divBdr>
        <w:top w:val="none" w:sz="0" w:space="0" w:color="auto"/>
        <w:left w:val="none" w:sz="0" w:space="0" w:color="auto"/>
        <w:bottom w:val="none" w:sz="0" w:space="0" w:color="auto"/>
        <w:right w:val="none" w:sz="0" w:space="0" w:color="auto"/>
      </w:divBdr>
    </w:div>
    <w:div w:id="529808063">
      <w:bodyDiv w:val="1"/>
      <w:marLeft w:val="0"/>
      <w:marRight w:val="0"/>
      <w:marTop w:val="0"/>
      <w:marBottom w:val="0"/>
      <w:divBdr>
        <w:top w:val="none" w:sz="0" w:space="0" w:color="auto"/>
        <w:left w:val="none" w:sz="0" w:space="0" w:color="auto"/>
        <w:bottom w:val="none" w:sz="0" w:space="0" w:color="auto"/>
        <w:right w:val="none" w:sz="0" w:space="0" w:color="auto"/>
      </w:divBdr>
    </w:div>
    <w:div w:id="552035581">
      <w:bodyDiv w:val="1"/>
      <w:marLeft w:val="0"/>
      <w:marRight w:val="0"/>
      <w:marTop w:val="0"/>
      <w:marBottom w:val="0"/>
      <w:divBdr>
        <w:top w:val="none" w:sz="0" w:space="0" w:color="auto"/>
        <w:left w:val="none" w:sz="0" w:space="0" w:color="auto"/>
        <w:bottom w:val="none" w:sz="0" w:space="0" w:color="auto"/>
        <w:right w:val="none" w:sz="0" w:space="0" w:color="auto"/>
      </w:divBdr>
    </w:div>
    <w:div w:id="559292957">
      <w:bodyDiv w:val="1"/>
      <w:marLeft w:val="0"/>
      <w:marRight w:val="0"/>
      <w:marTop w:val="0"/>
      <w:marBottom w:val="0"/>
      <w:divBdr>
        <w:top w:val="none" w:sz="0" w:space="0" w:color="auto"/>
        <w:left w:val="none" w:sz="0" w:space="0" w:color="auto"/>
        <w:bottom w:val="none" w:sz="0" w:space="0" w:color="auto"/>
        <w:right w:val="none" w:sz="0" w:space="0" w:color="auto"/>
      </w:divBdr>
    </w:div>
    <w:div w:id="566888465">
      <w:bodyDiv w:val="1"/>
      <w:marLeft w:val="0"/>
      <w:marRight w:val="0"/>
      <w:marTop w:val="0"/>
      <w:marBottom w:val="0"/>
      <w:divBdr>
        <w:top w:val="none" w:sz="0" w:space="0" w:color="auto"/>
        <w:left w:val="none" w:sz="0" w:space="0" w:color="auto"/>
        <w:bottom w:val="none" w:sz="0" w:space="0" w:color="auto"/>
        <w:right w:val="none" w:sz="0" w:space="0" w:color="auto"/>
      </w:divBdr>
    </w:div>
    <w:div w:id="648749617">
      <w:bodyDiv w:val="1"/>
      <w:marLeft w:val="0"/>
      <w:marRight w:val="0"/>
      <w:marTop w:val="0"/>
      <w:marBottom w:val="0"/>
      <w:divBdr>
        <w:top w:val="none" w:sz="0" w:space="0" w:color="auto"/>
        <w:left w:val="none" w:sz="0" w:space="0" w:color="auto"/>
        <w:bottom w:val="none" w:sz="0" w:space="0" w:color="auto"/>
        <w:right w:val="none" w:sz="0" w:space="0" w:color="auto"/>
      </w:divBdr>
    </w:div>
    <w:div w:id="683289294">
      <w:bodyDiv w:val="1"/>
      <w:marLeft w:val="0"/>
      <w:marRight w:val="0"/>
      <w:marTop w:val="0"/>
      <w:marBottom w:val="0"/>
      <w:divBdr>
        <w:top w:val="none" w:sz="0" w:space="0" w:color="auto"/>
        <w:left w:val="none" w:sz="0" w:space="0" w:color="auto"/>
        <w:bottom w:val="none" w:sz="0" w:space="0" w:color="auto"/>
        <w:right w:val="none" w:sz="0" w:space="0" w:color="auto"/>
      </w:divBdr>
    </w:div>
    <w:div w:id="690565536">
      <w:bodyDiv w:val="1"/>
      <w:marLeft w:val="0"/>
      <w:marRight w:val="0"/>
      <w:marTop w:val="0"/>
      <w:marBottom w:val="0"/>
      <w:divBdr>
        <w:top w:val="none" w:sz="0" w:space="0" w:color="auto"/>
        <w:left w:val="none" w:sz="0" w:space="0" w:color="auto"/>
        <w:bottom w:val="none" w:sz="0" w:space="0" w:color="auto"/>
        <w:right w:val="none" w:sz="0" w:space="0" w:color="auto"/>
      </w:divBdr>
    </w:div>
    <w:div w:id="694889443">
      <w:bodyDiv w:val="1"/>
      <w:marLeft w:val="0"/>
      <w:marRight w:val="0"/>
      <w:marTop w:val="0"/>
      <w:marBottom w:val="0"/>
      <w:divBdr>
        <w:top w:val="none" w:sz="0" w:space="0" w:color="auto"/>
        <w:left w:val="none" w:sz="0" w:space="0" w:color="auto"/>
        <w:bottom w:val="none" w:sz="0" w:space="0" w:color="auto"/>
        <w:right w:val="none" w:sz="0" w:space="0" w:color="auto"/>
      </w:divBdr>
    </w:div>
    <w:div w:id="695498837">
      <w:bodyDiv w:val="1"/>
      <w:marLeft w:val="0"/>
      <w:marRight w:val="0"/>
      <w:marTop w:val="0"/>
      <w:marBottom w:val="0"/>
      <w:divBdr>
        <w:top w:val="none" w:sz="0" w:space="0" w:color="auto"/>
        <w:left w:val="none" w:sz="0" w:space="0" w:color="auto"/>
        <w:bottom w:val="none" w:sz="0" w:space="0" w:color="auto"/>
        <w:right w:val="none" w:sz="0" w:space="0" w:color="auto"/>
      </w:divBdr>
    </w:div>
    <w:div w:id="697391789">
      <w:bodyDiv w:val="1"/>
      <w:marLeft w:val="0"/>
      <w:marRight w:val="0"/>
      <w:marTop w:val="0"/>
      <w:marBottom w:val="0"/>
      <w:divBdr>
        <w:top w:val="none" w:sz="0" w:space="0" w:color="auto"/>
        <w:left w:val="none" w:sz="0" w:space="0" w:color="auto"/>
        <w:bottom w:val="none" w:sz="0" w:space="0" w:color="auto"/>
        <w:right w:val="none" w:sz="0" w:space="0" w:color="auto"/>
      </w:divBdr>
    </w:div>
    <w:div w:id="701637600">
      <w:bodyDiv w:val="1"/>
      <w:marLeft w:val="0"/>
      <w:marRight w:val="0"/>
      <w:marTop w:val="0"/>
      <w:marBottom w:val="0"/>
      <w:divBdr>
        <w:top w:val="none" w:sz="0" w:space="0" w:color="auto"/>
        <w:left w:val="none" w:sz="0" w:space="0" w:color="auto"/>
        <w:bottom w:val="none" w:sz="0" w:space="0" w:color="auto"/>
        <w:right w:val="none" w:sz="0" w:space="0" w:color="auto"/>
      </w:divBdr>
    </w:div>
    <w:div w:id="707333847">
      <w:bodyDiv w:val="1"/>
      <w:marLeft w:val="0"/>
      <w:marRight w:val="0"/>
      <w:marTop w:val="0"/>
      <w:marBottom w:val="0"/>
      <w:divBdr>
        <w:top w:val="none" w:sz="0" w:space="0" w:color="auto"/>
        <w:left w:val="none" w:sz="0" w:space="0" w:color="auto"/>
        <w:bottom w:val="none" w:sz="0" w:space="0" w:color="auto"/>
        <w:right w:val="none" w:sz="0" w:space="0" w:color="auto"/>
      </w:divBdr>
    </w:div>
    <w:div w:id="776295542">
      <w:bodyDiv w:val="1"/>
      <w:marLeft w:val="0"/>
      <w:marRight w:val="0"/>
      <w:marTop w:val="0"/>
      <w:marBottom w:val="0"/>
      <w:divBdr>
        <w:top w:val="none" w:sz="0" w:space="0" w:color="auto"/>
        <w:left w:val="none" w:sz="0" w:space="0" w:color="auto"/>
        <w:bottom w:val="none" w:sz="0" w:space="0" w:color="auto"/>
        <w:right w:val="none" w:sz="0" w:space="0" w:color="auto"/>
      </w:divBdr>
    </w:div>
    <w:div w:id="853109306">
      <w:bodyDiv w:val="1"/>
      <w:marLeft w:val="0"/>
      <w:marRight w:val="0"/>
      <w:marTop w:val="0"/>
      <w:marBottom w:val="0"/>
      <w:divBdr>
        <w:top w:val="none" w:sz="0" w:space="0" w:color="auto"/>
        <w:left w:val="none" w:sz="0" w:space="0" w:color="auto"/>
        <w:bottom w:val="none" w:sz="0" w:space="0" w:color="auto"/>
        <w:right w:val="none" w:sz="0" w:space="0" w:color="auto"/>
      </w:divBdr>
    </w:div>
    <w:div w:id="940649002">
      <w:bodyDiv w:val="1"/>
      <w:marLeft w:val="0"/>
      <w:marRight w:val="0"/>
      <w:marTop w:val="0"/>
      <w:marBottom w:val="0"/>
      <w:divBdr>
        <w:top w:val="none" w:sz="0" w:space="0" w:color="auto"/>
        <w:left w:val="none" w:sz="0" w:space="0" w:color="auto"/>
        <w:bottom w:val="none" w:sz="0" w:space="0" w:color="auto"/>
        <w:right w:val="none" w:sz="0" w:space="0" w:color="auto"/>
      </w:divBdr>
    </w:div>
    <w:div w:id="951278825">
      <w:bodyDiv w:val="1"/>
      <w:marLeft w:val="0"/>
      <w:marRight w:val="0"/>
      <w:marTop w:val="0"/>
      <w:marBottom w:val="0"/>
      <w:divBdr>
        <w:top w:val="none" w:sz="0" w:space="0" w:color="auto"/>
        <w:left w:val="none" w:sz="0" w:space="0" w:color="auto"/>
        <w:bottom w:val="none" w:sz="0" w:space="0" w:color="auto"/>
        <w:right w:val="none" w:sz="0" w:space="0" w:color="auto"/>
      </w:divBdr>
    </w:div>
    <w:div w:id="1000623078">
      <w:bodyDiv w:val="1"/>
      <w:marLeft w:val="0"/>
      <w:marRight w:val="0"/>
      <w:marTop w:val="0"/>
      <w:marBottom w:val="0"/>
      <w:divBdr>
        <w:top w:val="none" w:sz="0" w:space="0" w:color="auto"/>
        <w:left w:val="none" w:sz="0" w:space="0" w:color="auto"/>
        <w:bottom w:val="none" w:sz="0" w:space="0" w:color="auto"/>
        <w:right w:val="none" w:sz="0" w:space="0" w:color="auto"/>
      </w:divBdr>
    </w:div>
    <w:div w:id="1007252783">
      <w:bodyDiv w:val="1"/>
      <w:marLeft w:val="0"/>
      <w:marRight w:val="0"/>
      <w:marTop w:val="0"/>
      <w:marBottom w:val="0"/>
      <w:divBdr>
        <w:top w:val="none" w:sz="0" w:space="0" w:color="auto"/>
        <w:left w:val="none" w:sz="0" w:space="0" w:color="auto"/>
        <w:bottom w:val="none" w:sz="0" w:space="0" w:color="auto"/>
        <w:right w:val="none" w:sz="0" w:space="0" w:color="auto"/>
      </w:divBdr>
    </w:div>
    <w:div w:id="1025908437">
      <w:bodyDiv w:val="1"/>
      <w:marLeft w:val="0"/>
      <w:marRight w:val="0"/>
      <w:marTop w:val="0"/>
      <w:marBottom w:val="0"/>
      <w:divBdr>
        <w:top w:val="none" w:sz="0" w:space="0" w:color="auto"/>
        <w:left w:val="none" w:sz="0" w:space="0" w:color="auto"/>
        <w:bottom w:val="none" w:sz="0" w:space="0" w:color="auto"/>
        <w:right w:val="none" w:sz="0" w:space="0" w:color="auto"/>
      </w:divBdr>
    </w:div>
    <w:div w:id="1058556774">
      <w:bodyDiv w:val="1"/>
      <w:marLeft w:val="0"/>
      <w:marRight w:val="0"/>
      <w:marTop w:val="0"/>
      <w:marBottom w:val="0"/>
      <w:divBdr>
        <w:top w:val="none" w:sz="0" w:space="0" w:color="auto"/>
        <w:left w:val="none" w:sz="0" w:space="0" w:color="auto"/>
        <w:bottom w:val="none" w:sz="0" w:space="0" w:color="auto"/>
        <w:right w:val="none" w:sz="0" w:space="0" w:color="auto"/>
      </w:divBdr>
    </w:div>
    <w:div w:id="1075399864">
      <w:bodyDiv w:val="1"/>
      <w:marLeft w:val="0"/>
      <w:marRight w:val="0"/>
      <w:marTop w:val="0"/>
      <w:marBottom w:val="0"/>
      <w:divBdr>
        <w:top w:val="none" w:sz="0" w:space="0" w:color="auto"/>
        <w:left w:val="none" w:sz="0" w:space="0" w:color="auto"/>
        <w:bottom w:val="none" w:sz="0" w:space="0" w:color="auto"/>
        <w:right w:val="none" w:sz="0" w:space="0" w:color="auto"/>
      </w:divBdr>
    </w:div>
    <w:div w:id="1202784871">
      <w:bodyDiv w:val="1"/>
      <w:marLeft w:val="0"/>
      <w:marRight w:val="0"/>
      <w:marTop w:val="0"/>
      <w:marBottom w:val="0"/>
      <w:divBdr>
        <w:top w:val="none" w:sz="0" w:space="0" w:color="auto"/>
        <w:left w:val="none" w:sz="0" w:space="0" w:color="auto"/>
        <w:bottom w:val="none" w:sz="0" w:space="0" w:color="auto"/>
        <w:right w:val="none" w:sz="0" w:space="0" w:color="auto"/>
      </w:divBdr>
    </w:div>
    <w:div w:id="1271746009">
      <w:bodyDiv w:val="1"/>
      <w:marLeft w:val="0"/>
      <w:marRight w:val="0"/>
      <w:marTop w:val="0"/>
      <w:marBottom w:val="0"/>
      <w:divBdr>
        <w:top w:val="none" w:sz="0" w:space="0" w:color="auto"/>
        <w:left w:val="none" w:sz="0" w:space="0" w:color="auto"/>
        <w:bottom w:val="none" w:sz="0" w:space="0" w:color="auto"/>
        <w:right w:val="none" w:sz="0" w:space="0" w:color="auto"/>
      </w:divBdr>
    </w:div>
    <w:div w:id="1307079089">
      <w:bodyDiv w:val="1"/>
      <w:marLeft w:val="0"/>
      <w:marRight w:val="0"/>
      <w:marTop w:val="0"/>
      <w:marBottom w:val="0"/>
      <w:divBdr>
        <w:top w:val="none" w:sz="0" w:space="0" w:color="auto"/>
        <w:left w:val="none" w:sz="0" w:space="0" w:color="auto"/>
        <w:bottom w:val="none" w:sz="0" w:space="0" w:color="auto"/>
        <w:right w:val="none" w:sz="0" w:space="0" w:color="auto"/>
      </w:divBdr>
    </w:div>
    <w:div w:id="1337223622">
      <w:bodyDiv w:val="1"/>
      <w:marLeft w:val="0"/>
      <w:marRight w:val="0"/>
      <w:marTop w:val="0"/>
      <w:marBottom w:val="0"/>
      <w:divBdr>
        <w:top w:val="none" w:sz="0" w:space="0" w:color="auto"/>
        <w:left w:val="none" w:sz="0" w:space="0" w:color="auto"/>
        <w:bottom w:val="none" w:sz="0" w:space="0" w:color="auto"/>
        <w:right w:val="none" w:sz="0" w:space="0" w:color="auto"/>
      </w:divBdr>
    </w:div>
    <w:div w:id="1351292945">
      <w:bodyDiv w:val="1"/>
      <w:marLeft w:val="0"/>
      <w:marRight w:val="0"/>
      <w:marTop w:val="0"/>
      <w:marBottom w:val="0"/>
      <w:divBdr>
        <w:top w:val="none" w:sz="0" w:space="0" w:color="auto"/>
        <w:left w:val="none" w:sz="0" w:space="0" w:color="auto"/>
        <w:bottom w:val="none" w:sz="0" w:space="0" w:color="auto"/>
        <w:right w:val="none" w:sz="0" w:space="0" w:color="auto"/>
      </w:divBdr>
    </w:div>
    <w:div w:id="1377508613">
      <w:bodyDiv w:val="1"/>
      <w:marLeft w:val="0"/>
      <w:marRight w:val="0"/>
      <w:marTop w:val="0"/>
      <w:marBottom w:val="0"/>
      <w:divBdr>
        <w:top w:val="none" w:sz="0" w:space="0" w:color="auto"/>
        <w:left w:val="none" w:sz="0" w:space="0" w:color="auto"/>
        <w:bottom w:val="none" w:sz="0" w:space="0" w:color="auto"/>
        <w:right w:val="none" w:sz="0" w:space="0" w:color="auto"/>
      </w:divBdr>
    </w:div>
    <w:div w:id="1409111066">
      <w:bodyDiv w:val="1"/>
      <w:marLeft w:val="0"/>
      <w:marRight w:val="0"/>
      <w:marTop w:val="0"/>
      <w:marBottom w:val="0"/>
      <w:divBdr>
        <w:top w:val="none" w:sz="0" w:space="0" w:color="auto"/>
        <w:left w:val="none" w:sz="0" w:space="0" w:color="auto"/>
        <w:bottom w:val="none" w:sz="0" w:space="0" w:color="auto"/>
        <w:right w:val="none" w:sz="0" w:space="0" w:color="auto"/>
      </w:divBdr>
    </w:div>
    <w:div w:id="1456872873">
      <w:bodyDiv w:val="1"/>
      <w:marLeft w:val="0"/>
      <w:marRight w:val="0"/>
      <w:marTop w:val="0"/>
      <w:marBottom w:val="0"/>
      <w:divBdr>
        <w:top w:val="none" w:sz="0" w:space="0" w:color="auto"/>
        <w:left w:val="none" w:sz="0" w:space="0" w:color="auto"/>
        <w:bottom w:val="none" w:sz="0" w:space="0" w:color="auto"/>
        <w:right w:val="none" w:sz="0" w:space="0" w:color="auto"/>
      </w:divBdr>
    </w:div>
    <w:div w:id="1521701064">
      <w:bodyDiv w:val="1"/>
      <w:marLeft w:val="0"/>
      <w:marRight w:val="0"/>
      <w:marTop w:val="0"/>
      <w:marBottom w:val="0"/>
      <w:divBdr>
        <w:top w:val="none" w:sz="0" w:space="0" w:color="auto"/>
        <w:left w:val="none" w:sz="0" w:space="0" w:color="auto"/>
        <w:bottom w:val="none" w:sz="0" w:space="0" w:color="auto"/>
        <w:right w:val="none" w:sz="0" w:space="0" w:color="auto"/>
      </w:divBdr>
    </w:div>
    <w:div w:id="1587566521">
      <w:bodyDiv w:val="1"/>
      <w:marLeft w:val="0"/>
      <w:marRight w:val="0"/>
      <w:marTop w:val="0"/>
      <w:marBottom w:val="0"/>
      <w:divBdr>
        <w:top w:val="none" w:sz="0" w:space="0" w:color="auto"/>
        <w:left w:val="none" w:sz="0" w:space="0" w:color="auto"/>
        <w:bottom w:val="none" w:sz="0" w:space="0" w:color="auto"/>
        <w:right w:val="none" w:sz="0" w:space="0" w:color="auto"/>
      </w:divBdr>
    </w:div>
    <w:div w:id="1609658654">
      <w:bodyDiv w:val="1"/>
      <w:marLeft w:val="0"/>
      <w:marRight w:val="0"/>
      <w:marTop w:val="0"/>
      <w:marBottom w:val="0"/>
      <w:divBdr>
        <w:top w:val="none" w:sz="0" w:space="0" w:color="auto"/>
        <w:left w:val="none" w:sz="0" w:space="0" w:color="auto"/>
        <w:bottom w:val="none" w:sz="0" w:space="0" w:color="auto"/>
        <w:right w:val="none" w:sz="0" w:space="0" w:color="auto"/>
      </w:divBdr>
    </w:div>
    <w:div w:id="1630823182">
      <w:bodyDiv w:val="1"/>
      <w:marLeft w:val="0"/>
      <w:marRight w:val="0"/>
      <w:marTop w:val="0"/>
      <w:marBottom w:val="0"/>
      <w:divBdr>
        <w:top w:val="none" w:sz="0" w:space="0" w:color="auto"/>
        <w:left w:val="none" w:sz="0" w:space="0" w:color="auto"/>
        <w:bottom w:val="none" w:sz="0" w:space="0" w:color="auto"/>
        <w:right w:val="none" w:sz="0" w:space="0" w:color="auto"/>
      </w:divBdr>
    </w:div>
    <w:div w:id="1637680209">
      <w:bodyDiv w:val="1"/>
      <w:marLeft w:val="0"/>
      <w:marRight w:val="0"/>
      <w:marTop w:val="0"/>
      <w:marBottom w:val="0"/>
      <w:divBdr>
        <w:top w:val="none" w:sz="0" w:space="0" w:color="auto"/>
        <w:left w:val="none" w:sz="0" w:space="0" w:color="auto"/>
        <w:bottom w:val="none" w:sz="0" w:space="0" w:color="auto"/>
        <w:right w:val="none" w:sz="0" w:space="0" w:color="auto"/>
      </w:divBdr>
    </w:div>
    <w:div w:id="1690983258">
      <w:bodyDiv w:val="1"/>
      <w:marLeft w:val="0"/>
      <w:marRight w:val="0"/>
      <w:marTop w:val="0"/>
      <w:marBottom w:val="0"/>
      <w:divBdr>
        <w:top w:val="none" w:sz="0" w:space="0" w:color="auto"/>
        <w:left w:val="none" w:sz="0" w:space="0" w:color="auto"/>
        <w:bottom w:val="none" w:sz="0" w:space="0" w:color="auto"/>
        <w:right w:val="none" w:sz="0" w:space="0" w:color="auto"/>
      </w:divBdr>
    </w:div>
    <w:div w:id="1691419391">
      <w:bodyDiv w:val="1"/>
      <w:marLeft w:val="0"/>
      <w:marRight w:val="0"/>
      <w:marTop w:val="0"/>
      <w:marBottom w:val="0"/>
      <w:divBdr>
        <w:top w:val="none" w:sz="0" w:space="0" w:color="auto"/>
        <w:left w:val="none" w:sz="0" w:space="0" w:color="auto"/>
        <w:bottom w:val="none" w:sz="0" w:space="0" w:color="auto"/>
        <w:right w:val="none" w:sz="0" w:space="0" w:color="auto"/>
      </w:divBdr>
    </w:div>
    <w:div w:id="1734351516">
      <w:bodyDiv w:val="1"/>
      <w:marLeft w:val="0"/>
      <w:marRight w:val="0"/>
      <w:marTop w:val="0"/>
      <w:marBottom w:val="0"/>
      <w:divBdr>
        <w:top w:val="none" w:sz="0" w:space="0" w:color="auto"/>
        <w:left w:val="none" w:sz="0" w:space="0" w:color="auto"/>
        <w:bottom w:val="none" w:sz="0" w:space="0" w:color="auto"/>
        <w:right w:val="none" w:sz="0" w:space="0" w:color="auto"/>
      </w:divBdr>
    </w:div>
    <w:div w:id="1865825019">
      <w:bodyDiv w:val="1"/>
      <w:marLeft w:val="0"/>
      <w:marRight w:val="0"/>
      <w:marTop w:val="0"/>
      <w:marBottom w:val="0"/>
      <w:divBdr>
        <w:top w:val="none" w:sz="0" w:space="0" w:color="auto"/>
        <w:left w:val="none" w:sz="0" w:space="0" w:color="auto"/>
        <w:bottom w:val="none" w:sz="0" w:space="0" w:color="auto"/>
        <w:right w:val="none" w:sz="0" w:space="0" w:color="auto"/>
      </w:divBdr>
    </w:div>
    <w:div w:id="2011372057">
      <w:bodyDiv w:val="1"/>
      <w:marLeft w:val="0"/>
      <w:marRight w:val="0"/>
      <w:marTop w:val="0"/>
      <w:marBottom w:val="0"/>
      <w:divBdr>
        <w:top w:val="none" w:sz="0" w:space="0" w:color="auto"/>
        <w:left w:val="none" w:sz="0" w:space="0" w:color="auto"/>
        <w:bottom w:val="none" w:sz="0" w:space="0" w:color="auto"/>
        <w:right w:val="none" w:sz="0" w:space="0" w:color="auto"/>
      </w:divBdr>
    </w:div>
    <w:div w:id="2025396951">
      <w:bodyDiv w:val="1"/>
      <w:marLeft w:val="0"/>
      <w:marRight w:val="0"/>
      <w:marTop w:val="0"/>
      <w:marBottom w:val="0"/>
      <w:divBdr>
        <w:top w:val="none" w:sz="0" w:space="0" w:color="auto"/>
        <w:left w:val="none" w:sz="0" w:space="0" w:color="auto"/>
        <w:bottom w:val="none" w:sz="0" w:space="0" w:color="auto"/>
        <w:right w:val="none" w:sz="0" w:space="0" w:color="auto"/>
      </w:divBdr>
    </w:div>
    <w:div w:id="2043624027">
      <w:bodyDiv w:val="1"/>
      <w:marLeft w:val="0"/>
      <w:marRight w:val="0"/>
      <w:marTop w:val="0"/>
      <w:marBottom w:val="0"/>
      <w:divBdr>
        <w:top w:val="none" w:sz="0" w:space="0" w:color="auto"/>
        <w:left w:val="none" w:sz="0" w:space="0" w:color="auto"/>
        <w:bottom w:val="none" w:sz="0" w:space="0" w:color="auto"/>
        <w:right w:val="none" w:sz="0" w:space="0" w:color="auto"/>
      </w:divBdr>
    </w:div>
    <w:div w:id="2063401015">
      <w:bodyDiv w:val="1"/>
      <w:marLeft w:val="0"/>
      <w:marRight w:val="0"/>
      <w:marTop w:val="0"/>
      <w:marBottom w:val="0"/>
      <w:divBdr>
        <w:top w:val="none" w:sz="0" w:space="0" w:color="auto"/>
        <w:left w:val="none" w:sz="0" w:space="0" w:color="auto"/>
        <w:bottom w:val="none" w:sz="0" w:space="0" w:color="auto"/>
        <w:right w:val="none" w:sz="0" w:space="0" w:color="auto"/>
      </w:divBdr>
    </w:div>
    <w:div w:id="2082675212">
      <w:bodyDiv w:val="1"/>
      <w:marLeft w:val="0"/>
      <w:marRight w:val="0"/>
      <w:marTop w:val="0"/>
      <w:marBottom w:val="0"/>
      <w:divBdr>
        <w:top w:val="none" w:sz="0" w:space="0" w:color="auto"/>
        <w:left w:val="none" w:sz="0" w:space="0" w:color="auto"/>
        <w:bottom w:val="none" w:sz="0" w:space="0" w:color="auto"/>
        <w:right w:val="none" w:sz="0" w:space="0" w:color="auto"/>
      </w:divBdr>
    </w:div>
    <w:div w:id="20997169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Gri17</b:Tag>
    <b:SourceType>BookSection</b:SourceType>
    <b:Guid>{54278777-91AB-4C55-BA66-1FE33A2081A8}</b:Guid>
    <b:Author>
      <b:Author>
        <b:NameList>
          <b:Person>
            <b:Last>Grieves</b:Last>
            <b:First>M</b:First>
          </b:Person>
          <b:Person>
            <b:Last>Vickers</b:Last>
            <b:First>J.</b:First>
          </b:Person>
        </b:NameList>
      </b:Author>
    </b:Author>
    <b:Title>Digital Twin: Mitigating Unpredictable, Undesirable Emergent Behavior in Complex Systems</b:Title>
    <b:Year>2017</b:Year>
    <b:City>Cham</b:City>
    <b:Publisher>Springer International Publishing</b:Publisher>
    <b:RefOrder>1</b:RefOrder>
  </b:Source>
  <b:Source>
    <b:Tag>OPC23</b:Tag>
    <b:SourceType>Report</b:SourceType>
    <b:Guid>{497F4D1C-68BF-45D3-8BEB-625EA8F0E813}</b:Guid>
    <b:Author>
      <b:Author>
        <b:NameList>
          <b:Person>
            <b:Last>Foundation</b:Last>
            <b:First>OPC</b:First>
          </b:Person>
        </b:NameList>
      </b:Author>
    </b:Author>
    <b:Title>OPC UA—Interoperability for Industrie 4.0 and IoT (IEC 62541)</b:Title>
    <b:Year>2023</b:Year>
    <b:Publisher>brochure</b:Publisher>
    <b:RefOrder>3</b:RefOrder>
  </b:Source>
  <b:Source>
    <b:Tag>IEC20</b:Tag>
    <b:SourceType>Report</b:SourceType>
    <b:Guid>{F72E13EA-C325-4CF7-A2EC-6AF431D79E20}</b:Guid>
    <b:Author>
      <b:Author>
        <b:NameList>
          <b:Person>
            <b:Last>IEC</b:Last>
          </b:Person>
        </b:NameList>
      </b:Author>
    </b:Author>
    <b:Title>IEC 62832-1:2020 Digital Factory—General principles</b:Title>
    <b:Year>2020</b:Year>
    <b:RefOrder>4</b:RefOrder>
  </b:Source>
  <b:Source>
    <b:Tag>JVS23</b:Tag>
    <b:SourceType>Report</b:SourceType>
    <b:Guid>{519B00AF-8882-4C17-9944-01089601C4E3}</b:Guid>
    <b:Author>
      <b:Author>
        <b:NameList>
          <b:Person>
            <b:Last>al.</b:Last>
            <b:First>J.</b:First>
            <b:Middle>V. S. do Amaral et</b:Middle>
          </b:Person>
        </b:NameList>
      </b:Author>
    </b:Author>
    <b:Title>Energy Digital Twin applications: A review</b:Title>
    <b:Year>2023</b:Year>
    <b:Publisher>Renewable and Sustainable Energy Reviews</b:Publisher>
    <b:RefOrder>5</b:RefOrder>
  </b:Source>
  <b:Source>
    <b:Tag>NMo23</b:Tag>
    <b:SourceType>Report</b:SourceType>
    <b:Guid>{3EAFF2FE-F327-4D5B-A2A3-FF5DF137415D}</b:Guid>
    <b:Author>
      <b:Author>
        <b:NameList>
          <b:Person>
            <b:Last>Mohamed</b:Last>
            <b:First>N.</b:First>
          </b:Person>
          <b:Person>
            <b:Last>Lazarova-Molnar</b:Last>
            <b:First>S.</b:First>
          </b:Person>
          <b:Person>
            <b:Last>Al-Jaroodi</b:Last>
            <b:First>J.</b:First>
          </b:Person>
        </b:NameList>
      </b:Author>
    </b:Author>
    <b:Title>Digital Twins for Energy-Efficient Manufacturing</b:Title>
    <b:Year>2023</b:Year>
    <b:Publisher>IEEE SysCon</b:Publisher>
    <b:RefOrder>6</b:RefOrder>
  </b:Source>
  <b:Source>
    <b:Tag>ECa25</b:Tag>
    <b:SourceType>Report</b:SourceType>
    <b:Guid>{F21FA772-C16F-45E8-8EE8-356BF6B671D0}</b:Guid>
    <b:Author>
      <b:Author>
        <b:NameList>
          <b:Person>
            <b:Last>al</b:Last>
            <b:First>E.</b:First>
            <b:Middle>Cagno et</b:Middle>
          </b:Person>
        </b:NameList>
      </b:Author>
    </b:Author>
    <b:Title>Energy management and Industry 4.0: Analysis of the digital transformation of energy efficiency programs</b:Title>
    <b:Year>2025</b:Year>
    <b:Publisher>Applied Energy</b:Publisher>
    <b:RefOrder>7</b:RefOrder>
  </b:Source>
  <b:Source>
    <b:Tag>SLa24</b:Tag>
    <b:SourceType>Report</b:SourceType>
    <b:Guid>{0C5C5A7C-6705-4218-897B-05D108C3E764}</b:Guid>
    <b:Author>
      <b:Author>
        <b:NameList>
          <b:Person>
            <b:Last>Lazarova-Molnar</b:Last>
            <b:First>S.</b:First>
          </b:Person>
          <b:Person>
            <b:Last>Bilali</b:Last>
            <b:First>A.</b:First>
          </b:Person>
          <b:Person>
            <b:Last>L. Chelbi</b:Last>
          </b:Person>
        </b:NameList>
      </b:Author>
    </b:Author>
    <b:Title>A Vision for Advancing Digital Twins Intelligence</b:Title>
    <b:Year>2024</b:Year>
    <b:Publisher>VISIGRAPP/SCITEPRESS</b:Publisher>
    <b:RefOrder>8</b:RefOrder>
  </b:Source>
  <b:Source>
    <b:Tag>DBo24</b:Tag>
    <b:SourceType>Report</b:SourceType>
    <b:Guid>{946F37FF-3EA6-4293-80AC-ECA1E64DBFB8}</b:Guid>
    <b:Author>
      <b:Author>
        <b:NameList>
          <b:Person>
            <b:Last>Bousnina</b:Last>
            <b:First>D.</b:First>
          </b:Person>
          <b:Person>
            <b:Last>Guerassimoff</b:Last>
            <b:First>G.</b:First>
          </b:Person>
        </b:NameList>
      </b:Author>
    </b:Author>
    <b:Title>Optimal energy management in smart energy systems: A deep reinforcement learning approach and a digital twin case-study</b:Title>
    <b:Year>2024</b:Year>
    <b:Publisher>Smart Energy</b:Publisher>
    <b:RefOrder>11</b:RefOrder>
  </b:Source>
  <b:Source>
    <b:Tag>GRo24</b:Tag>
    <b:SourceType>Report</b:SourceType>
    <b:Guid>{5AD853A4-D405-4DF6-96BA-CEE978F7A397}</b:Guid>
    <b:Author>
      <b:Author>
        <b:NameList>
          <b:Person>
            <b:Last>al.</b:Last>
            <b:First>G.</b:First>
            <b:Middle>Rolofs et</b:Middle>
          </b:Person>
        </b:NameList>
      </b:Author>
    </b:Author>
    <b:Title>Integrating Digital Twins and Cyber-Physical Systems for Flexible Energy Management in Manufacturing Facilities: A Conceptual Framework</b:Title>
    <b:Year>2024</b:Year>
    <b:Publisher>Electronics</b:Publisher>
    <b:RefOrder>9</b:RefOrder>
  </b:Source>
  <b:Source>
    <b:Tag>ECa251</b:Tag>
    <b:SourceType>Report</b:SourceType>
    <b:Guid>{A5906328-7DE3-4ACB-87C2-65E9643A3E7E}</b:Guid>
    <b:Author>
      <b:Author>
        <b:NameList>
          <b:Person>
            <b:Last>al.</b:Last>
            <b:First>E.</b:First>
            <b:Middle>Cagno et</b:Middle>
          </b:Person>
        </b:NameList>
      </b:Author>
    </b:Author>
    <b:Title>Energy management and Industry 4.0: Analysis of the digital transformation of energy efficiency programs</b:Title>
    <b:Year>2025</b:Year>
    <b:Publisher>Applied Energy</b:Publisher>
    <b:RefOrder>10</b:RefOrder>
  </b:Source>
  <b:Source>
    <b:Tag>DVa25</b:Tag>
    <b:SourceType>Report</b:SourceType>
    <b:Guid>{9C7F835C-53E4-4357-93F5-5D4A2C6D5D33}</b:Guid>
    <b:Author>
      <b:Author>
        <b:NameList>
          <b:Person>
            <b:Last>al.</b:Last>
            <b:First>D.</b:First>
            <b:Middle>Vance et</b:Middle>
          </b:Person>
        </b:NameList>
      </b:Author>
    </b:Author>
    <b:Title>Next-Level Energy Management in Manufacturing: Facility-Level Energy Digital Twin Framework Based on Machine Learning and Automated Data Collection</b:Title>
    <b:Year>2025</b:Year>
    <b:Publisher>Energies</b:Publisher>
    <b:RefOrder>12</b:RefOrder>
  </b:Source>
  <b:Source>
    <b:Tag>FTa19</b:Tag>
    <b:SourceType>Report</b:SourceType>
    <b:Guid>{46CEADB9-4788-45CD-8C44-428243B2BAA0}</b:Guid>
    <b:Author>
      <b:Author>
        <b:NameList>
          <b:Person>
            <b:Last>F</b:Last>
            <b:First>Tao</b:First>
          </b:Person>
          <b:Person>
            <b:Last>Q</b:Last>
            <b:First>Qi</b:First>
          </b:Person>
          <b:Person>
            <b:Last>L</b:Last>
            <b:First>Wang</b:First>
          </b:Person>
          <b:Person>
            <b:Last>A</b:Last>
            <b:First>Nee</b:First>
          </b:Person>
        </b:NameList>
      </b:Author>
    </b:Author>
    <b:Title>Digital Twins and Cyber–Physical Systems toward Smart Manufacturing and Industry 4.0: Correlation and Comparison</b:Title>
    <b:Year>2019</b:Year>
    <b:Publisher>Engineering</b:Publisher>
    <b:RefOrder>2</b:RefOrder>
  </b:Source>
</b:Sources>
</file>

<file path=customXml/itemProps1.xml><?xml version="1.0" encoding="utf-8"?>
<ds:datastoreItem xmlns:ds="http://schemas.openxmlformats.org/officeDocument/2006/customXml" ds:itemID="{3D0283CD-DA97-40E9-B123-890AD788E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2477</Words>
  <Characters>15815</Characters>
  <Application>Microsoft Office Word</Application>
  <DocSecurity>0</DocSecurity>
  <Lines>271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M Rao</cp:lastModifiedBy>
  <cp:revision>5</cp:revision>
  <dcterms:created xsi:type="dcterms:W3CDTF">2025-08-17T17:21:00Z</dcterms:created>
  <dcterms:modified xsi:type="dcterms:W3CDTF">2025-09-09T12:13:00Z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e60f7c8d-6c45-4f30-af9b-d519b4dda8eb</vt:lpwstr>
  </property>
</Properties>
</file>