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Educational AI POC</w:t>
        <w:br/>
        <w:t>End-to-End Technical &amp; Project Documentation</w:t>
      </w:r>
    </w:p>
    <w:p>
      <w:pPr>
        <w:jc w:val="center"/>
      </w:pPr>
      <w:r>
        <w:rPr>
          <w:i/>
        </w:rPr>
        <w:t>Prepared for Client Discussion after POC Demonstration</w:t>
      </w:r>
    </w:p>
    <w:p>
      <w:pPr>
        <w:pStyle w:val="Heading1"/>
      </w:pPr>
      <w:r>
        <w:t>1. Project Overview</w:t>
      </w:r>
    </w:p>
    <w:p>
      <w:r>
        <w:t>Build an end-to-end educational AI POC that ingests learning content from two independent platforms, processes and indexes that content, retrieves relevant curriculum information for a student question, and generates a grounded response with citations, confidence information, and evaluation metrics.</w:t>
      </w:r>
    </w:p>
    <w:p>
      <w:pPr>
        <w:pStyle w:val="ListBullet"/>
      </w:pPr>
      <w:r>
        <w:t>The POC demonstrates technical feasibility; production will use the client's actual platforms.</w:t>
      </w:r>
    </w:p>
    <w:p>
      <w:pPr>
        <w:pStyle w:val="ListBullet"/>
      </w:pPr>
      <w:r>
        <w:t>POC sources are representative demo sources and are not the client's production platforms.</w:t>
      </w:r>
    </w:p>
    <w:p>
      <w:pPr>
        <w:pStyle w:val="ListBullet"/>
      </w:pPr>
      <w:r>
        <w:t>The project owner/client will bear production infrastructure and third-party service costs.</w:t>
      </w:r>
    </w:p>
    <w:p>
      <w:pPr>
        <w:pStyle w:val="Heading1"/>
      </w:pPr>
      <w:r>
        <w:t>2. POC vs Production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Production</w:t>
            </w:r>
          </w:p>
        </w:tc>
      </w:tr>
      <w:tr>
        <w:tc>
          <w:tcPr>
            <w:tcW w:type="dxa" w:w="3312"/>
            <w:vAlign w:val="top"/>
          </w:tcPr>
          <w:p>
            <w:r>
              <w:t>Sources</w:t>
            </w:r>
          </w:p>
        </w:tc>
        <w:tc>
          <w:tcPr>
            <w:tcW w:type="dxa" w:w="3312"/>
            <w:vAlign w:val="top"/>
          </w:tcPr>
          <w:p>
            <w:r>
              <w:t>Representative independent PDF + video platforms</w:t>
            </w:r>
          </w:p>
        </w:tc>
        <w:tc>
          <w:tcPr>
            <w:tcW w:type="dxa" w:w="3312"/>
            <w:vAlign w:val="top"/>
          </w:tcPr>
          <w:p>
            <w:r>
              <w:t>Client's actual platforms</w:t>
            </w:r>
          </w:p>
        </w:tc>
      </w:tr>
      <w:tr>
        <w:tc>
          <w:tcPr>
            <w:tcW w:type="dxa" w:w="3312"/>
            <w:vAlign w:val="top"/>
          </w:tcPr>
          <w:p>
            <w:r>
              <w:t>Data</w:t>
            </w:r>
          </w:p>
        </w:tc>
        <w:tc>
          <w:tcPr>
            <w:tcW w:type="dxa" w:w="3312"/>
            <w:vAlign w:val="top"/>
          </w:tcPr>
          <w:p>
            <w:r>
              <w:t>Small controlled dataset</w:t>
            </w:r>
          </w:p>
        </w:tc>
        <w:tc>
          <w:tcPr>
            <w:tcW w:type="dxa" w:w="3312"/>
            <w:vAlign w:val="top"/>
          </w:tcPr>
          <w:p>
            <w:r>
              <w:t>Actual curriculum volume</w:t>
            </w:r>
          </w:p>
        </w:tc>
      </w:tr>
      <w:tr>
        <w:tc>
          <w:tcPr>
            <w:tcW w:type="dxa" w:w="3312"/>
            <w:vAlign w:val="top"/>
          </w:tcPr>
          <w:p>
            <w:r>
              <w:t>Deployment</w:t>
            </w:r>
          </w:p>
        </w:tc>
        <w:tc>
          <w:tcPr>
            <w:tcW w:type="dxa" w:w="3312"/>
            <w:vAlign w:val="top"/>
          </w:tcPr>
          <w:p>
            <w:r>
              <w:t>Low-cost/free demo environment</w:t>
            </w:r>
          </w:p>
        </w:tc>
        <w:tc>
          <w:tcPr>
            <w:tcW w:type="dxa" w:w="3312"/>
            <w:vAlign w:val="top"/>
          </w:tcPr>
          <w:p>
            <w:r>
              <w:t>Client-owned cloud infrastructure</w:t>
            </w:r>
          </w:p>
        </w:tc>
      </w:tr>
      <w:tr>
        <w:tc>
          <w:tcPr>
            <w:tcW w:type="dxa" w:w="3312"/>
            <w:vAlign w:val="top"/>
          </w:tcPr>
          <w:p>
            <w:r>
              <w:t>Environments</w:t>
            </w:r>
          </w:p>
        </w:tc>
        <w:tc>
          <w:tcPr>
            <w:tcW w:type="dxa" w:w="3312"/>
            <w:vAlign w:val="top"/>
          </w:tcPr>
          <w:p>
            <w:r>
              <w:t>Development/demo</w:t>
            </w:r>
          </w:p>
        </w:tc>
        <w:tc>
          <w:tcPr>
            <w:tcW w:type="dxa" w:w="3312"/>
            <w:vAlign w:val="top"/>
          </w:tcPr>
          <w:p>
            <w:r>
              <w:t>Development + Staging/UAT + Production</w:t>
            </w:r>
          </w:p>
        </w:tc>
      </w:tr>
      <w:tr>
        <w:tc>
          <w:tcPr>
            <w:tcW w:type="dxa" w:w="3312"/>
            <w:vAlign w:val="top"/>
          </w:tcPr>
          <w:p>
            <w:r>
              <w:t>CI/CD</w:t>
            </w:r>
          </w:p>
        </w:tc>
        <w:tc>
          <w:tcPr>
            <w:tcW w:type="dxa" w:w="3312"/>
            <w:vAlign w:val="top"/>
          </w:tcPr>
          <w:p>
            <w:r>
              <w:t>Optional/manual</w:t>
            </w:r>
          </w:p>
        </w:tc>
        <w:tc>
          <w:tcPr>
            <w:tcW w:type="dxa" w:w="3312"/>
            <w:vAlign w:val="top"/>
          </w:tcPr>
          <w:p>
            <w:r>
              <w:t>Recommended</w:t>
            </w:r>
          </w:p>
        </w:tc>
      </w:tr>
      <w:tr>
        <w:tc>
          <w:tcPr>
            <w:tcW w:type="dxa" w:w="3312"/>
            <w:vAlign w:val="top"/>
          </w:tcPr>
          <w:p>
            <w:r>
              <w:t>Security</w:t>
            </w:r>
          </w:p>
        </w:tc>
        <w:tc>
          <w:tcPr>
            <w:tcW w:type="dxa" w:w="3312"/>
            <w:vAlign w:val="top"/>
          </w:tcPr>
          <w:p>
            <w:r>
              <w:t>POC-level</w:t>
            </w:r>
          </w:p>
        </w:tc>
        <w:tc>
          <w:tcPr>
            <w:tcW w:type="dxa" w:w="3312"/>
            <w:vAlign w:val="top"/>
          </w:tcPr>
          <w:p>
            <w:r>
              <w:t>Production-grade</w:t>
            </w:r>
          </w:p>
        </w:tc>
      </w:tr>
      <w:tr>
        <w:tc>
          <w:tcPr>
            <w:tcW w:type="dxa" w:w="3312"/>
            <w:vAlign w:val="top"/>
          </w:tcPr>
          <w:p>
            <w:r>
              <w:t>Monitoring</w:t>
            </w:r>
          </w:p>
        </w:tc>
        <w:tc>
          <w:tcPr>
            <w:tcW w:type="dxa" w:w="3312"/>
            <w:vAlign w:val="top"/>
          </w:tcPr>
          <w:p>
            <w:r>
              <w:t>Basic</w:t>
            </w:r>
          </w:p>
        </w:tc>
        <w:tc>
          <w:tcPr>
            <w:tcW w:type="dxa" w:w="3312"/>
            <w:vAlign w:val="top"/>
          </w:tcPr>
          <w:p>
            <w:r>
              <w:t>Centralized logs, metrics and alerts</w:t>
            </w:r>
          </w:p>
        </w:tc>
      </w:tr>
      <w:tr>
        <w:tc>
          <w:tcPr>
            <w:tcW w:type="dxa" w:w="3312"/>
            <w:vAlign w:val="top"/>
          </w:tcPr>
          <w:p>
            <w:r>
              <w:t>Scalability</w:t>
            </w:r>
          </w:p>
        </w:tc>
        <w:tc>
          <w:tcPr>
            <w:tcW w:type="dxa" w:w="3312"/>
            <w:vAlign w:val="top"/>
          </w:tcPr>
          <w:p>
            <w:r>
              <w:t>Limited</w:t>
            </w:r>
          </w:p>
        </w:tc>
        <w:tc>
          <w:tcPr>
            <w:tcW w:type="dxa" w:w="3312"/>
            <w:vAlign w:val="top"/>
          </w:tcPr>
          <w:p>
            <w:r>
              <w:t>Designed for expected scale</w:t>
            </w:r>
          </w:p>
        </w:tc>
      </w:tr>
      <w:tr>
        <w:tc>
          <w:tcPr>
            <w:tcW w:type="dxa" w:w="3312"/>
            <w:vAlign w:val="top"/>
          </w:tcPr>
          <w:p>
            <w:r>
              <w:t>Evaluation</w:t>
            </w:r>
          </w:p>
        </w:tc>
        <w:tc>
          <w:tcPr>
            <w:tcW w:type="dxa" w:w="3312"/>
            <w:vAlign w:val="top"/>
          </w:tcPr>
          <w:p>
            <w:r>
              <w:t>Demo test set</w:t>
            </w:r>
          </w:p>
        </w:tc>
        <w:tc>
          <w:tcPr>
            <w:tcW w:type="dxa" w:w="3312"/>
            <w:vAlign w:val="top"/>
          </w:tcPr>
          <w:p>
            <w:r>
              <w:t>Formal evaluation and acceptance criteria</w:t>
            </w:r>
          </w:p>
        </w:tc>
      </w:tr>
    </w:tbl>
    <w:p>
      <w:pPr>
        <w:pStyle w:val="Heading1"/>
      </w:pPr>
      <w:r>
        <w:t>3. End-to-End Functional Flow</w:t>
      </w:r>
    </w:p>
    <w:p>
      <w:pPr>
        <w:pStyle w:val="ListNumber"/>
      </w:pPr>
      <w:r>
        <w:t>Source 1 – Educational PDF Platform</w:t>
      </w:r>
    </w:p>
    <w:p>
      <w:pPr>
        <w:pStyle w:val="ListNumber"/>
      </w:pPr>
      <w:r>
        <w:t>Read/access PDF content without downloading the PDF</w:t>
      </w:r>
    </w:p>
    <w:p>
      <w:pPr>
        <w:pStyle w:val="ListNumber"/>
      </w:pPr>
      <w:r>
        <w:t>Source 2 – Educational Video Platform</w:t>
      </w:r>
    </w:p>
    <w:p>
      <w:pPr>
        <w:pStyle w:val="ListNumber"/>
      </w:pPr>
      <w:r>
        <w:t>Download permitted educational video</w:t>
      </w:r>
    </w:p>
    <w:p>
      <w:pPr>
        <w:pStyle w:val="ListNumber"/>
      </w:pPr>
      <w:r>
        <w:t>Extract audio from video</w:t>
      </w:r>
    </w:p>
    <w:p>
      <w:pPr>
        <w:pStyle w:val="ListNumber"/>
      </w:pPr>
      <w:r>
        <w:t>Speech-to-Text transcription</w:t>
      </w:r>
    </w:p>
    <w:p>
      <w:pPr>
        <w:pStyle w:val="ListNumber"/>
      </w:pPr>
      <w:r>
        <w:t>Clean and normalize content</w:t>
      </w:r>
    </w:p>
    <w:p>
      <w:pPr>
        <w:pStyle w:val="ListNumber"/>
      </w:pPr>
      <w:r>
        <w:t>Chunk curriculum content</w:t>
      </w:r>
    </w:p>
    <w:p>
      <w:pPr>
        <w:pStyle w:val="ListNumber"/>
      </w:pPr>
      <w:r>
        <w:t>Optional/conditional model fine-tuning where justified</w:t>
      </w:r>
    </w:p>
    <w:p>
      <w:pPr>
        <w:pStyle w:val="ListNumber"/>
      </w:pPr>
      <w:r>
        <w:t>Generate embeddings and index curriculum</w:t>
      </w:r>
    </w:p>
    <w:p>
      <w:pPr>
        <w:pStyle w:val="ListNumber"/>
      </w:pPr>
      <w:r>
        <w:t>Store embeddings and metadata in vector database</w:t>
      </w:r>
    </w:p>
    <w:p>
      <w:pPr>
        <w:pStyle w:val="ListNumber"/>
      </w:pPr>
      <w:r>
        <w:t>Receive student question</w:t>
      </w:r>
    </w:p>
    <w:p>
      <w:pPr>
        <w:pStyle w:val="ListNumber"/>
      </w:pPr>
      <w:r>
        <w:t>Understand the question</w:t>
      </w:r>
    </w:p>
    <w:p>
      <w:pPr>
        <w:pStyle w:val="ListNumber"/>
      </w:pPr>
      <w:r>
        <w:t>Retrieve relevant curriculum content</w:t>
      </w:r>
    </w:p>
    <w:p>
      <w:pPr>
        <w:pStyle w:val="ListNumber"/>
      </w:pPr>
      <w:r>
        <w:t>Generate grounded LLM answer</w:t>
      </w:r>
    </w:p>
    <w:p>
      <w:pPr>
        <w:pStyle w:val="ListNumber"/>
      </w:pPr>
      <w:r>
        <w:t>Safety and curriculum/relevance check</w:t>
      </w:r>
    </w:p>
    <w:p>
      <w:pPr>
        <w:pStyle w:val="ListNumber"/>
      </w:pPr>
      <w:r>
        <w:t>Personalize response</w:t>
      </w:r>
    </w:p>
    <w:p>
      <w:pPr>
        <w:pStyle w:val="ListNumber"/>
      </w:pPr>
      <w:r>
        <w:t>Return final answer with citations/resources, confidence score and evaluation information</w:t>
      </w:r>
    </w:p>
    <w:p>
      <w:pPr>
        <w:pStyle w:val="Heading1"/>
      </w:pPr>
      <w:r>
        <w:t>4. Data Source Requirements</w:t>
      </w:r>
    </w:p>
    <w:p>
      <w:pPr>
        <w:pStyle w:val="Heading2"/>
      </w:pPr>
      <w:r>
        <w:t>4.1 PDF Platform</w:t>
      </w:r>
    </w:p>
    <w:p>
      <w:pPr>
        <w:pStyle w:val="ListBullet"/>
      </w:pPr>
      <w:r>
        <w:t>Use a separate educational PDF platform for the POC.</w:t>
      </w:r>
    </w:p>
    <w:p>
      <w:pPr>
        <w:pStyle w:val="ListBullet"/>
      </w:pPr>
      <w:r>
        <w:t>Use read/access permission only.</w:t>
      </w:r>
    </w:p>
    <w:p>
      <w:pPr>
        <w:pStyle w:val="ListBullet"/>
      </w:pPr>
      <w:r>
        <w:t>Do not download or permanently store the PDF.</w:t>
      </w:r>
    </w:p>
    <w:p>
      <w:pPr>
        <w:pStyle w:val="ListBullet"/>
      </w:pPr>
      <w:r>
        <w:t>Process permitted content in memory or through the platform's supported access mechanism.</w:t>
      </w:r>
    </w:p>
    <w:p>
      <w:pPr>
        <w:pStyle w:val="ListBullet"/>
      </w:pPr>
      <w:r>
        <w:t>Retain source metadata for citations.</w:t>
      </w:r>
    </w:p>
    <w:p>
      <w:pPr>
        <w:pStyle w:val="ListBullet"/>
      </w:pPr>
      <w:r>
        <w:t>Replace the demo source with the client's actual PDF platform for production.</w:t>
      </w:r>
    </w:p>
    <w:p>
      <w:pPr>
        <w:pStyle w:val="Heading2"/>
      </w:pPr>
      <w:r>
        <w:t>4.2 Educational Video Platform</w:t>
      </w:r>
    </w:p>
    <w:p>
      <w:pPr>
        <w:pStyle w:val="ListBullet"/>
      </w:pPr>
      <w:r>
        <w:t>Use a separate educational video platform.</w:t>
      </w:r>
    </w:p>
    <w:p>
      <w:pPr>
        <w:pStyle w:val="ListBullet"/>
      </w:pPr>
      <w:r>
        <w:t>Download video only where permitted.</w:t>
      </w:r>
    </w:p>
    <w:p>
      <w:pPr>
        <w:pStyle w:val="ListBullet"/>
      </w:pPr>
      <w:r>
        <w:t>Extract audio and run Speech-to-Text.</w:t>
      </w:r>
    </w:p>
    <w:p>
      <w:pPr>
        <w:pStyle w:val="ListBullet"/>
      </w:pPr>
      <w:r>
        <w:t>Retain video reference and timestamp information where available.</w:t>
      </w:r>
    </w:p>
    <w:p>
      <w:pPr>
        <w:pStyle w:val="ListBullet"/>
      </w:pPr>
      <w:r>
        <w:t>Use the client's actual video platform for production.</w:t>
      </w:r>
    </w:p>
    <w:p>
      <w:pPr>
        <w:pStyle w:val="Heading1"/>
      </w:pPr>
      <w:r>
        <w:t>5. Data Ingestion &amp; Processing</w:t>
      </w:r>
    </w:p>
    <w:p>
      <w:pPr>
        <w:pStyle w:val="ListBullet"/>
      </w:pPr>
      <w:r>
        <w:t>Separate source connectors/adapters for each platform.</w:t>
      </w:r>
    </w:p>
    <w:p>
      <w:pPr>
        <w:pStyle w:val="ListBullet"/>
      </w:pPr>
      <w:r>
        <w:t>Validate access and content availability.</w:t>
      </w:r>
    </w:p>
    <w:p>
      <w:pPr>
        <w:pStyle w:val="ListBullet"/>
      </w:pPr>
      <w:r>
        <w:t>Extract PDF text without persisting the PDF.</w:t>
      </w:r>
    </w:p>
    <w:p>
      <w:pPr>
        <w:pStyle w:val="ListBullet"/>
      </w:pPr>
      <w:r>
        <w:t>Download permitted video and extract audio.</w:t>
      </w:r>
    </w:p>
    <w:p>
      <w:pPr>
        <w:pStyle w:val="ListBullet"/>
      </w:pPr>
      <w:r>
        <w:t>Transcribe audio.</w:t>
      </w:r>
    </w:p>
    <w:p>
      <w:pPr>
        <w:pStyle w:val="ListBullet"/>
      </w:pPr>
      <w:r>
        <w:t>Clean, normalize and chunk content.</w:t>
      </w:r>
    </w:p>
    <w:p>
      <w:pPr>
        <w:pStyle w:val="ListBullet"/>
      </w:pPr>
      <w:r>
        <w:t>Attach source metadata to every chunk.</w:t>
      </w:r>
    </w:p>
    <w:p>
      <w:pPr>
        <w:pStyle w:val="Heading1"/>
      </w:pPr>
      <w:r>
        <w:t>6. Metadata &amp; Traceability</w:t>
      </w:r>
    </w:p>
    <w:p>
      <w:pPr>
        <w:pStyle w:val="ListBullet"/>
      </w:pPr>
      <w:r>
        <w:t>Every chunk retains source type and identifier.</w:t>
      </w:r>
    </w:p>
    <w:p>
      <w:pPr>
        <w:pStyle w:val="ListBullet"/>
      </w:pPr>
      <w:r>
        <w:t>PDF chunks retain document title and page/section where available.</w:t>
      </w:r>
    </w:p>
    <w:p>
      <w:pPr>
        <w:pStyle w:val="ListBullet"/>
      </w:pPr>
      <w:r>
        <w:t>Video chunks retain title, source reference and timestamp where available.</w:t>
      </w:r>
    </w:p>
    <w:p>
      <w:pPr>
        <w:pStyle w:val="ListBullet"/>
      </w:pPr>
      <w:r>
        <w:t>Metadata is available to retrieval and response generation.</w:t>
      </w:r>
    </w:p>
    <w:p>
      <w:pPr>
        <w:pStyle w:val="ListBullet"/>
      </w:pPr>
      <w:r>
        <w:t>Metadata enables traceable citations.</w:t>
      </w:r>
    </w:p>
    <w:p>
      <w:pPr>
        <w:pStyle w:val="Heading1"/>
      </w:pPr>
      <w:r>
        <w:t>7. Model Strategy</w:t>
      </w:r>
    </w:p>
    <w:p>
      <w:pPr>
        <w:pStyle w:val="ListBullet"/>
      </w:pPr>
      <w:r>
        <w:t>Use an LLM for question understanding and answer generation.</w:t>
      </w:r>
    </w:p>
    <w:p>
      <w:pPr>
        <w:pStyle w:val="ListBullet"/>
      </w:pPr>
      <w:r>
        <w:t>Use an embedding model for semantic indexing/retrieval.</w:t>
      </w:r>
    </w:p>
    <w:p>
      <w:pPr>
        <w:pStyle w:val="ListBullet"/>
      </w:pPr>
      <w:r>
        <w:t>Fine-tuning is optional and introduced only when justified by a demonstrated requirement.</w:t>
      </w:r>
    </w:p>
    <w:p>
      <w:pPr>
        <w:pStyle w:val="ListBullet"/>
      </w:pPr>
      <w:r>
        <w:t>Use RAG to supply curriculum knowledge rather than relying on model memory.</w:t>
      </w:r>
    </w:p>
    <w:p>
      <w:pPr>
        <w:pStyle w:val="ListBullet"/>
      </w:pPr>
      <w:r>
        <w:t>Select models based on quality, language support, context, latency, privacy and cost.</w:t>
      </w:r>
    </w:p>
    <w:p>
      <w:pPr>
        <w:pStyle w:val="Heading1"/>
      </w:pPr>
      <w:r>
        <w:t>8. Curriculum Indexing</w:t>
      </w:r>
    </w:p>
    <w:p>
      <w:pPr>
        <w:pStyle w:val="ListBullet"/>
      </w:pPr>
      <w:r>
        <w:t>Generate embeddings for processed chunks.</w:t>
      </w:r>
    </w:p>
    <w:p>
      <w:pPr>
        <w:pStyle w:val="ListBullet"/>
      </w:pPr>
      <w:r>
        <w:t>Store vectors and metadata in a vector database.</w:t>
      </w:r>
    </w:p>
    <w:p>
      <w:pPr>
        <w:pStyle w:val="ListBullet"/>
      </w:pPr>
      <w:r>
        <w:t>Support semantic similarity search.</w:t>
      </w:r>
    </w:p>
    <w:p>
      <w:pPr>
        <w:pStyle w:val="ListBullet"/>
      </w:pPr>
      <w:r>
        <w:t>Support metadata filters such as subject, grade, course or topic.</w:t>
      </w:r>
    </w:p>
    <w:p>
      <w:pPr>
        <w:pStyle w:val="ListBullet"/>
      </w:pPr>
      <w:r>
        <w:t>Support incremental re-indexing when content changes.</w:t>
      </w:r>
    </w:p>
    <w:p>
      <w:pPr>
        <w:pStyle w:val="Heading1"/>
      </w:pPr>
      <w:r>
        <w:t>9. Student Question Processing</w:t>
      </w:r>
    </w:p>
    <w:p>
      <w:pPr>
        <w:pStyle w:val="ListBullet"/>
      </w:pPr>
      <w:r>
        <w:t>Receive and validate the question.</w:t>
      </w:r>
    </w:p>
    <w:p>
      <w:pPr>
        <w:pStyle w:val="ListBullet"/>
      </w:pPr>
      <w:r>
        <w:t>Determine intent/topic.</w:t>
      </w:r>
    </w:p>
    <w:p>
      <w:pPr>
        <w:pStyle w:val="ListBullet"/>
      </w:pPr>
      <w:r>
        <w:t>Prepare a retrieval query.</w:t>
      </w:r>
    </w:p>
    <w:p>
      <w:pPr>
        <w:pStyle w:val="ListBullet"/>
      </w:pPr>
      <w:r>
        <w:t>Retrieve relevant curriculum chunks.</w:t>
      </w:r>
    </w:p>
    <w:p>
      <w:pPr>
        <w:pStyle w:val="ListBullet"/>
      </w:pPr>
      <w:r>
        <w:t>Pass relevant evidence to answer generation.</w:t>
      </w:r>
    </w:p>
    <w:p>
      <w:pPr>
        <w:pStyle w:val="Heading1"/>
      </w:pPr>
      <w:r>
        <w:t>10. Answer Generation</w:t>
      </w:r>
    </w:p>
    <w:p>
      <w:pPr>
        <w:pStyle w:val="ListBullet"/>
      </w:pPr>
      <w:r>
        <w:t>Generate an answer using retrieved curriculum content.</w:t>
      </w:r>
    </w:p>
    <w:p>
      <w:pPr>
        <w:pStyle w:val="ListBullet"/>
      </w:pPr>
      <w:r>
        <w:t>Prefer retrieved evidence over unsupported model knowledge.</w:t>
      </w:r>
    </w:p>
    <w:p>
      <w:pPr>
        <w:pStyle w:val="ListBullet"/>
      </w:pPr>
      <w:r>
        <w:t>Avoid hallucinated curriculum information.</w:t>
      </w:r>
    </w:p>
    <w:p>
      <w:pPr>
        <w:pStyle w:val="ListBullet"/>
      </w:pPr>
      <w:r>
        <w:t>If evidence is insufficient, clearly state the limitation.</w:t>
      </w:r>
    </w:p>
    <w:p>
      <w:pPr>
        <w:pStyle w:val="ListBullet"/>
      </w:pPr>
      <w:r>
        <w:t>Return a student-friendly response appropriate to available context.</w:t>
      </w:r>
    </w:p>
    <w:p>
      <w:pPr>
        <w:pStyle w:val="Heading1"/>
      </w:pPr>
      <w:r>
        <w:t>11. Safety &amp; Curriculum Checks</w:t>
      </w:r>
    </w:p>
    <w:p>
      <w:pPr>
        <w:pStyle w:val="ListBullet"/>
      </w:pPr>
      <w:r>
        <w:t>Check response relevance and curriculum grounding.</w:t>
      </w:r>
    </w:p>
    <w:p>
      <w:pPr>
        <w:pStyle w:val="ListBullet"/>
      </w:pPr>
      <w:r>
        <w:t>Apply appropriate safety checks.</w:t>
      </w:r>
    </w:p>
    <w:p>
      <w:pPr>
        <w:pStyle w:val="ListBullet"/>
      </w:pPr>
      <w:r>
        <w:t>Detect insufficient retrieval/low support.</w:t>
      </w:r>
    </w:p>
    <w:p>
      <w:pPr>
        <w:pStyle w:val="ListBullet"/>
      </w:pPr>
      <w:r>
        <w:t>Revise or block unsupported responses where appropriate.</w:t>
      </w:r>
    </w:p>
    <w:p>
      <w:pPr>
        <w:pStyle w:val="ListBullet"/>
      </w:pPr>
      <w:r>
        <w:t>Maintain production audit metadata subject to privacy requirements.</w:t>
      </w:r>
    </w:p>
    <w:p>
      <w:pPr>
        <w:pStyle w:val="Heading1"/>
      </w:pPr>
      <w:r>
        <w:t>12. Personalization</w:t>
      </w:r>
    </w:p>
    <w:p>
      <w:pPr>
        <w:pStyle w:val="ListBullet"/>
      </w:pPr>
      <w:r>
        <w:t>Use permitted student context where available.</w:t>
      </w:r>
    </w:p>
    <w:p>
      <w:pPr>
        <w:pStyle w:val="ListBullet"/>
      </w:pPr>
      <w:r>
        <w:t>Possible context: grade/class, learning level, preferred explanation style and learning history.</w:t>
      </w:r>
    </w:p>
    <w:p>
      <w:pPr>
        <w:pStyle w:val="ListBullet"/>
      </w:pPr>
      <w:r>
        <w:t>Personalization must not override correctness or safety.</w:t>
      </w:r>
    </w:p>
    <w:p>
      <w:pPr>
        <w:pStyle w:val="ListBullet"/>
      </w:pPr>
      <w:r>
        <w:t>Use a controlled sample student profile for the POC if needed.</w:t>
      </w:r>
    </w:p>
    <w:p>
      <w:pPr>
        <w:pStyle w:val="Heading1"/>
      </w:pPr>
      <w:r>
        <w:t>13. Citations &amp; Resource References</w:t>
      </w:r>
    </w:p>
    <w:p>
      <w:pPr>
        <w:pStyle w:val="ListBullet"/>
      </w:pPr>
      <w:r>
        <w:t>Every curriculum-grounded answer should provide citations.</w:t>
      </w:r>
    </w:p>
    <w:p>
      <w:pPr>
        <w:pStyle w:val="ListBullet"/>
      </w:pPr>
      <w:r>
        <w:t>PDF citations identify document and page/section where available.</w:t>
      </w:r>
    </w:p>
    <w:p>
      <w:pPr>
        <w:pStyle w:val="ListBullet"/>
      </w:pPr>
      <w:r>
        <w:t>Video citations identify video and relevant timestamp where available.</w:t>
      </w:r>
    </w:p>
    <w:p>
      <w:pPr>
        <w:pStyle w:val="ListBullet"/>
      </w:pPr>
      <w:r>
        <w:t>Users can identify the original learning resource.</w:t>
      </w:r>
    </w:p>
    <w:p>
      <w:pPr>
        <w:pStyle w:val="ListBullet"/>
      </w:pPr>
      <w:r>
        <w:t>Do not display citations that were not actually used as supporting evidence.</w:t>
      </w:r>
    </w:p>
    <w:p>
      <w:pPr>
        <w:pStyle w:val="Heading1"/>
      </w:pPr>
      <w:r>
        <w:t>14. Confidence Score</w:t>
      </w:r>
    </w:p>
    <w:p>
      <w:pPr>
        <w:pStyle w:val="ListBullet"/>
      </w:pPr>
      <w:r>
        <w:t>Each answer includes a confidence score reflecting support from retrieved evidence.</w:t>
      </w:r>
    </w:p>
    <w:p>
      <w:pPr>
        <w:pStyle w:val="ListBullet"/>
      </w:pPr>
      <w:r>
        <w:t>Calculate it from defined retrieval/evidence signals and/or evaluation logic.</w:t>
      </w:r>
    </w:p>
    <w:p>
      <w:pPr>
        <w:pStyle w:val="ListBullet"/>
      </w:pPr>
      <w:r>
        <w:t>Do not represent confidence as a guaranteed probability of factual correctness.</w:t>
      </w:r>
    </w:p>
    <w:p>
      <w:pPr>
        <w:pStyle w:val="ListBullet"/>
      </w:pPr>
      <w:r>
        <w:t>Low-confidence answers should be clearly identified and may require verification.</w:t>
      </w:r>
    </w:p>
    <w:p>
      <w:pPr>
        <w:pStyle w:val="Heading1"/>
      </w:pPr>
      <w:r>
        <w:t>15. Accuracy Evaluation</w:t>
      </w:r>
    </w:p>
    <w:p>
      <w:pPr>
        <w:pStyle w:val="ListBullet"/>
      </w:pPr>
      <w:r>
        <w:t>Create a representative evaluation dataset of student questions and reference answers.</w:t>
      </w:r>
    </w:p>
    <w:p>
      <w:pPr>
        <w:pStyle w:val="ListBullet"/>
      </w:pPr>
      <w:r>
        <w:t>Evaluate generated responses against reference answers using a defined method.</w:t>
      </w:r>
    </w:p>
    <w:p>
      <w:pPr>
        <w:pStyle w:val="ListBullet"/>
      </w:pPr>
      <w:r>
        <w:t>Display an accuracy/evaluation score in the POC.</w:t>
      </w:r>
    </w:p>
    <w:p>
      <w:pPr>
        <w:pStyle w:val="ListBullet"/>
      </w:pPr>
      <w:r>
        <w:t>Do not claim the score represents absolute accuracy for every future question.</w:t>
      </w:r>
    </w:p>
    <w:p>
      <w:pPr>
        <w:pStyle w:val="ListBullet"/>
      </w:pPr>
      <w:r>
        <w:t>Evaluate correctness, curriculum grounding and citation relevance where practical.</w:t>
      </w:r>
    </w:p>
    <w:p>
      <w:pPr>
        <w:pStyle w:val="ListBullet"/>
      </w:pPr>
      <w:r>
        <w:t>Document the evaluation dataset and scoring methodology.</w:t>
      </w:r>
    </w:p>
    <w:p>
      <w:pPr>
        <w:pStyle w:val="Heading1"/>
      </w:pPr>
      <w:r>
        <w:t>16. Application/API Layer</w:t>
      </w:r>
    </w:p>
    <w:p>
      <w:pPr>
        <w:pStyle w:val="ListBullet"/>
      </w:pPr>
      <w:r>
        <w:t>Expose core functionality through a clear API/application layer.</w:t>
      </w:r>
    </w:p>
    <w:p>
      <w:pPr>
        <w:pStyle w:val="ListBullet"/>
      </w:pPr>
      <w:r>
        <w:t>Separate ingestion, processing, indexing, retrieval and generation responsibilities.</w:t>
      </w:r>
    </w:p>
    <w:p>
      <w:pPr>
        <w:pStyle w:val="ListBullet"/>
      </w:pPr>
      <w:r>
        <w:t>Keep source connectors independent from common RAG logic.</w:t>
      </w:r>
    </w:p>
    <w:p>
      <w:pPr>
        <w:pStyle w:val="ListBullet"/>
      </w:pPr>
      <w:r>
        <w:t>Use environment variables/configuration for non-secret settings and secrets management for credentials.</w:t>
      </w:r>
    </w:p>
    <w:p>
      <w:pPr>
        <w:pStyle w:val="ListBullet"/>
      </w:pPr>
      <w:r>
        <w:t>API accepts a student question and returns answer plus supporting metadata.</w:t>
      </w:r>
    </w:p>
    <w:p>
      <w:pPr>
        <w:pStyle w:val="Heading1"/>
      </w:pPr>
      <w:r>
        <w:t>17.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 Connectors</w:t>
            </w:r>
          </w:p>
        </w:tc>
        <w:tc>
          <w:tcPr>
            <w:tcW w:type="dxa" w:w="4968"/>
            <w:vAlign w:val="top"/>
          </w:tcPr>
          <w:p>
            <w:r>
              <w:t>Independent PDF and video platform integration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Ingestion</w:t>
            </w:r>
          </w:p>
        </w:tc>
        <w:tc>
          <w:tcPr>
            <w:tcW w:type="dxa" w:w="4968"/>
            <w:vAlign w:val="top"/>
          </w:tcPr>
          <w:p>
            <w:r>
              <w:t>Read/download permitted content</w:t>
            </w:r>
          </w:p>
        </w:tc>
      </w:tr>
      <w:tr>
        <w:tc>
          <w:tcPr>
            <w:tcW w:type="dxa" w:w="4968"/>
            <w:vAlign w:val="top"/>
          </w:tcPr>
          <w:p>
            <w:r>
              <w:t>Processing</w:t>
            </w:r>
          </w:p>
        </w:tc>
        <w:tc>
          <w:tcPr>
            <w:tcW w:type="dxa" w:w="4968"/>
            <w:vAlign w:val="top"/>
          </w:tcPr>
          <w:p>
            <w:r>
              <w:t>Extract, clean, normalize and chunk</w:t>
            </w:r>
          </w:p>
        </w:tc>
      </w:tr>
      <w:tr>
        <w:tc>
          <w:tcPr>
            <w:tcW w:type="dxa" w:w="4968"/>
            <w:vAlign w:val="top"/>
          </w:tcPr>
          <w:p>
            <w:r>
              <w:t>Speech-to-Text</w:t>
            </w:r>
          </w:p>
        </w:tc>
        <w:tc>
          <w:tcPr>
            <w:tcW w:type="dxa" w:w="4968"/>
            <w:vAlign w:val="top"/>
          </w:tcPr>
          <w:p>
            <w:r>
              <w:t>Convert video audio to transcript</w:t>
            </w:r>
          </w:p>
        </w:tc>
      </w:tr>
      <w:tr>
        <w:tc>
          <w:tcPr>
            <w:tcW w:type="dxa" w:w="4968"/>
            <w:vAlign w:val="top"/>
          </w:tcPr>
          <w:p>
            <w:r>
              <w:t>Embedding</w:t>
            </w:r>
          </w:p>
        </w:tc>
        <w:tc>
          <w:tcPr>
            <w:tcW w:type="dxa" w:w="4968"/>
            <w:vAlign w:val="top"/>
          </w:tcPr>
          <w:p>
            <w:r>
              <w:t>Create vector representations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DB</w:t>
            </w:r>
          </w:p>
        </w:tc>
        <w:tc>
          <w:tcPr>
            <w:tcW w:type="dxa" w:w="4968"/>
            <w:vAlign w:val="top"/>
          </w:tcPr>
          <w:p>
            <w:r>
              <w:t>Store vectors/metadata and retrieve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Question Understanding</w:t>
            </w:r>
          </w:p>
        </w:tc>
        <w:tc>
          <w:tcPr>
            <w:tcW w:type="dxa" w:w="4968"/>
            <w:vAlign w:val="top"/>
          </w:tcPr>
          <w:p>
            <w:r>
              <w:t>Interpret student intent</w:t>
            </w:r>
          </w:p>
        </w:tc>
      </w:tr>
      <w:tr>
        <w:tc>
          <w:tcPr>
            <w:tcW w:type="dxa" w:w="4968"/>
            <w:vAlign w:val="top"/>
          </w:tcPr>
          <w:p>
            <w:r>
              <w:t>Retriever</w:t>
            </w:r>
          </w:p>
        </w:tc>
        <w:tc>
          <w:tcPr>
            <w:tcW w:type="dxa" w:w="4968"/>
            <w:vAlign w:val="top"/>
          </w:tcPr>
          <w:p>
            <w:r>
              <w:t>Retrieve curriculum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LLM</w:t>
            </w:r>
          </w:p>
        </w:tc>
        <w:tc>
          <w:tcPr>
            <w:tcW w:type="dxa" w:w="4968"/>
            <w:vAlign w:val="top"/>
          </w:tcPr>
          <w:p>
            <w:r>
              <w:t>Generate grounded response</w:t>
            </w:r>
          </w:p>
        </w:tc>
      </w:tr>
      <w:tr>
        <w:tc>
          <w:tcPr>
            <w:tcW w:type="dxa" w:w="4968"/>
            <w:vAlign w:val="top"/>
          </w:tcPr>
          <w:p>
            <w:r>
              <w:t>Safety/Curriculum</w:t>
            </w:r>
          </w:p>
        </w:tc>
        <w:tc>
          <w:tcPr>
            <w:tcW w:type="dxa" w:w="4968"/>
            <w:vAlign w:val="top"/>
          </w:tcPr>
          <w:p>
            <w:r>
              <w:t>Validate safety, relevance and grounding</w:t>
            </w:r>
          </w:p>
        </w:tc>
      </w:tr>
      <w:tr>
        <w:tc>
          <w:tcPr>
            <w:tcW w:type="dxa" w:w="4968"/>
            <w:vAlign w:val="top"/>
          </w:tcPr>
          <w:p>
            <w:r>
              <w:t>Personalization</w:t>
            </w:r>
          </w:p>
        </w:tc>
        <w:tc>
          <w:tcPr>
            <w:tcW w:type="dxa" w:w="4968"/>
            <w:vAlign w:val="top"/>
          </w:tcPr>
          <w:p>
            <w:r>
              <w:t>Adapt response using permitted context</w:t>
            </w:r>
          </w:p>
        </w:tc>
      </w:tr>
      <w:tr>
        <w:tc>
          <w:tcPr>
            <w:tcW w:type="dxa" w:w="4968"/>
            <w:vAlign w:val="top"/>
          </w:tcPr>
          <w:p>
            <w:r>
              <w:t>Evaluation</w:t>
            </w:r>
          </w:p>
        </w:tc>
        <w:tc>
          <w:tcPr>
            <w:tcW w:type="dxa" w:w="4968"/>
            <w:vAlign w:val="top"/>
          </w:tcPr>
          <w:p>
            <w:r>
              <w:t>Measure quality/accuracy</w:t>
            </w:r>
          </w:p>
        </w:tc>
      </w:tr>
      <w:tr>
        <w:tc>
          <w:tcPr>
            <w:tcW w:type="dxa" w:w="4968"/>
            <w:vAlign w:val="top"/>
          </w:tcPr>
          <w:p>
            <w:r>
              <w:t>API/UI</w:t>
            </w:r>
          </w:p>
        </w:tc>
        <w:tc>
          <w:tcPr>
            <w:tcW w:type="dxa" w:w="4968"/>
            <w:vAlign w:val="top"/>
          </w:tcPr>
          <w:p>
            <w:r>
              <w:t>Expose student interaction and results</w:t>
            </w:r>
          </w:p>
        </w:tc>
      </w:tr>
    </w:tbl>
    <w:p>
      <w:pPr>
        <w:pStyle w:val="Heading1"/>
      </w:pPr>
      <w:r>
        <w:t>18. Git &amp; Repository Strategy</w:t>
      </w:r>
    </w:p>
    <w:p>
      <w:pPr>
        <w:pStyle w:val="ListBullet"/>
      </w:pPr>
      <w:r>
        <w:t>Use a dedicated Git repository owned/controlled by the project owner/client.</w:t>
      </w:r>
    </w:p>
    <w:p>
      <w:pPr>
        <w:pStyle w:val="ListBullet"/>
      </w:pPr>
      <w:r>
        <w:t>Store source code, configuration templates, documentation, tests and deployment configuration.</w:t>
      </w:r>
    </w:p>
    <w:p>
      <w:pPr>
        <w:pStyle w:val="ListBullet"/>
      </w:pPr>
      <w:r>
        <w:t>Never commit secrets or credentials.</w:t>
      </w:r>
    </w:p>
    <w:p>
      <w:pPr>
        <w:pStyle w:val="ListBullet"/>
      </w:pPr>
      <w:r>
        <w:t>Use environment variables/secret management.</w:t>
      </w:r>
    </w:p>
    <w:p>
      <w:pPr>
        <w:pStyle w:val="ListBullet"/>
      </w:pPr>
      <w:r>
        <w:t>Use a controlled branching strategy suitable for the team.</w:t>
      </w:r>
    </w:p>
    <w:p>
      <w:pPr>
        <w:pStyle w:val="ListBullet"/>
      </w:pPr>
      <w:r>
        <w:t>Git hosting cost depends on provider/plan; client should own the production organization/repository.</w:t>
      </w:r>
    </w:p>
    <w:p>
      <w:pPr>
        <w:pStyle w:val="ListBullet"/>
      </w:pPr>
      <w:r>
        <w:t>Agree repository ownership and access before production work.</w:t>
      </w:r>
    </w:p>
    <w:p>
      <w:pPr>
        <w:pStyle w:val="Heading1"/>
      </w:pPr>
      <w:r>
        <w:t>19.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Development</w:t>
            </w:r>
          </w:p>
        </w:tc>
        <w:tc>
          <w:tcPr>
            <w:tcW w:type="dxa" w:w="4968"/>
            <w:vAlign w:val="top"/>
          </w:tcPr>
          <w:p>
            <w:r>
              <w:t>Implementation and testing</w:t>
            </w:r>
          </w:p>
        </w:tc>
      </w:tr>
      <w:tr>
        <w:tc>
          <w:tcPr>
            <w:tcW w:type="dxa" w:w="4968"/>
            <w:vAlign w:val="top"/>
          </w:tcPr>
          <w:p>
            <w:r>
              <w:t>Staging/UAT</w:t>
            </w:r>
          </w:p>
        </w:tc>
        <w:tc>
          <w:tcPr>
            <w:tcW w:type="dxa" w:w="4968"/>
            <w:vAlign w:val="top"/>
          </w:tcPr>
          <w:p>
            <w:r>
              <w:t>Client testing and acceptance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Production</w:t>
            </w:r>
          </w:p>
        </w:tc>
        <w:tc>
          <w:tcPr>
            <w:tcW w:type="dxa" w:w="4968"/>
            <w:vAlign w:val="top"/>
          </w:tcPr>
          <w:p>
            <w:r>
              <w:t>Live system</w:t>
            </w:r>
          </w:p>
        </w:tc>
      </w:tr>
    </w:tbl>
    <w:p>
      <w:pPr>
        <w:pStyle w:val="ListBullet"/>
      </w:pPr>
      <w:r>
        <w:t>POC may use one development/demo environment.</w:t>
      </w:r>
    </w:p>
    <w:p>
      <w:pPr>
        <w:pStyle w:val="ListBullet"/>
      </w:pPr>
      <w:r>
        <w:t>Production should normally use Development + Staging/UAT + Production unless the client chooses otherwise.</w:t>
      </w:r>
    </w:p>
    <w:p>
      <w:pPr>
        <w:pStyle w:val="Heading1"/>
      </w:pPr>
      <w:r>
        <w:t>20. Deployment Strategy</w:t>
      </w:r>
    </w:p>
    <w:p>
      <w:pPr>
        <w:pStyle w:val="Heading2"/>
      </w:pPr>
      <w:r>
        <w:t>20.1 Manual Deployment</w:t>
      </w:r>
    </w:p>
    <w:p>
      <w:pPr>
        <w:pStyle w:val="ListBullet"/>
      </w:pPr>
      <w:r>
        <w:t>Suitable for early POC.</w:t>
      </w:r>
    </w:p>
    <w:p>
      <w:pPr>
        <w:pStyle w:val="ListBullet"/>
      </w:pPr>
      <w:r>
        <w:t>Lower setup effort.</w:t>
      </w:r>
    </w:p>
    <w:p>
      <w:pPr>
        <w:pStyle w:val="ListBullet"/>
      </w:pPr>
      <w:r>
        <w:t>Higher risk of inconsistency and manual error.</w:t>
      </w:r>
    </w:p>
    <w:p>
      <w:pPr>
        <w:pStyle w:val="Heading2"/>
      </w:pPr>
      <w:r>
        <w:t>20.2 CI/CD</w:t>
      </w:r>
    </w:p>
    <w:p>
      <w:pPr>
        <w:pStyle w:val="ListBullet"/>
      </w:pPr>
      <w:r>
        <w:t>Recommended for production.</w:t>
      </w:r>
    </w:p>
    <w:p>
      <w:pPr>
        <w:pStyle w:val="ListBullet"/>
      </w:pPr>
      <w:r>
        <w:t>Git changes can trigger automated build, test and deployment.</w:t>
      </w:r>
    </w:p>
    <w:p>
      <w:pPr>
        <w:pStyle w:val="ListBullet"/>
      </w:pPr>
      <w:r>
        <w:t>Separate workflows can target each environment.</w:t>
      </w:r>
    </w:p>
    <w:p>
      <w:pPr>
        <w:pStyle w:val="ListBullet"/>
      </w:pPr>
      <w:r>
        <w:t>Production can require approval gates.</w:t>
      </w:r>
    </w:p>
    <w:p>
      <w:pPr>
        <w:pStyle w:val="Heading2"/>
      </w:pPr>
      <w:r>
        <w:t>20.3 Recommendation</w:t>
      </w:r>
    </w:p>
    <w:p>
      <w:pPr>
        <w:pStyle w:val="ListBullet"/>
      </w:pPr>
      <w:r>
        <w:t>Use manual deployment for the initial POC if speed is the priority.</w:t>
      </w:r>
    </w:p>
    <w:p>
      <w:pPr>
        <w:pStyle w:val="ListBullet"/>
      </w:pPr>
      <w:r>
        <w:t>Introduce CI/CD before/during production implementation.</w:t>
      </w:r>
    </w:p>
    <w:p>
      <w:pPr>
        <w:pStyle w:val="ListBullet"/>
      </w:pPr>
      <w:r>
        <w:t>Select CI/CD tooling after cloud and Git hosting are confirmed.</w:t>
      </w:r>
    </w:p>
    <w:p>
      <w:pPr>
        <w:pStyle w:val="Heading1"/>
      </w:pPr>
      <w:r>
        <w:t>21. Cloud &amp; Infrastructure</w:t>
      </w:r>
    </w:p>
    <w:p>
      <w:pPr>
        <w:pStyle w:val="ListBullet"/>
      </w:pPr>
      <w:r>
        <w:t>Select a production cloud provider based on requirements.</w:t>
      </w:r>
    </w:p>
    <w:p>
      <w:pPr>
        <w:pStyle w:val="ListBullet"/>
      </w:pPr>
      <w:r>
        <w:t>Production cloud account/project should be client-owned.</w:t>
      </w:r>
    </w:p>
    <w:p>
      <w:pPr>
        <w:pStyle w:val="ListBullet"/>
      </w:pPr>
      <w:r>
        <w:t>Potential services: compute, storage, vector/database, networking, secrets, logging and monitoring.</w:t>
      </w:r>
    </w:p>
    <w:p>
      <w:pPr>
        <w:pStyle w:val="ListBullet"/>
      </w:pPr>
      <w:r>
        <w:t>Exact services depend on traffic, content volume, security, latency and scale.</w:t>
      </w:r>
    </w:p>
    <w:p>
      <w:pPr>
        <w:pStyle w:val="ListBullet"/>
      </w:pPr>
      <w:r>
        <w:t>POC may use free tiers or low-cost resources.</w:t>
      </w:r>
    </w:p>
    <w:p>
      <w:pPr>
        <w:pStyle w:val="Heading1"/>
      </w:pPr>
      <w:r>
        <w:t>22. Third-Party Tools &amp; Cost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Cost Driver</w:t>
            </w:r>
          </w:p>
        </w:tc>
      </w:tr>
      <w:tr>
        <w:tc>
          <w:tcPr>
            <w:tcW w:type="dxa" w:w="3312"/>
            <w:vAlign w:val="top"/>
          </w:tcPr>
          <w:p>
            <w:r>
              <w:t>LLM</w:t>
            </w:r>
          </w:p>
        </w:tc>
        <w:tc>
          <w:tcPr>
            <w:tcW w:type="dxa" w:w="3312"/>
            <w:vAlign w:val="top"/>
          </w:tcPr>
          <w:p>
            <w:r>
              <w:t>Answer generation/question understanding</w:t>
            </w:r>
          </w:p>
        </w:tc>
        <w:tc>
          <w:tcPr>
            <w:tcW w:type="dxa" w:w="3312"/>
            <w:vAlign w:val="top"/>
          </w:tcPr>
          <w:p>
            <w:r>
              <w:t>Tokens/usage or compute</w:t>
            </w:r>
          </w:p>
        </w:tc>
      </w:tr>
      <w:tr>
        <w:tc>
          <w:tcPr>
            <w:tcW w:type="dxa" w:w="3312"/>
            <w:vAlign w:val="top"/>
          </w:tcPr>
          <w:p>
            <w:r>
              <w:t>Embeddings</w:t>
            </w:r>
          </w:p>
        </w:tc>
        <w:tc>
          <w:tcPr>
            <w:tcW w:type="dxa" w:w="3312"/>
            <w:vAlign w:val="top"/>
          </w:tcPr>
          <w:p>
            <w:r>
              <w:t>Semantic indexing</w:t>
            </w:r>
          </w:p>
        </w:tc>
        <w:tc>
          <w:tcPr>
            <w:tcW w:type="dxa" w:w="3312"/>
            <w:vAlign w:val="top"/>
          </w:tcPr>
          <w:p>
            <w:r>
              <w:t>API usage or compute</w:t>
            </w:r>
          </w:p>
        </w:tc>
      </w:tr>
      <w:tr>
        <w:tc>
          <w:tcPr>
            <w:tcW w:type="dxa" w:w="3312"/>
            <w:vAlign w:val="top"/>
          </w:tcPr>
          <w:p>
            <w:r>
              <w:t>Speech-to-Text</w:t>
            </w:r>
          </w:p>
        </w:tc>
        <w:tc>
          <w:tcPr>
            <w:tcW w:type="dxa" w:w="3312"/>
            <w:vAlign w:val="top"/>
          </w:tcPr>
          <w:p>
            <w:r>
              <w:t>Video transcription</w:t>
            </w:r>
          </w:p>
        </w:tc>
        <w:tc>
          <w:tcPr>
            <w:tcW w:type="dxa" w:w="3312"/>
            <w:vAlign w:val="top"/>
          </w:tcPr>
          <w:p>
            <w:r>
              <w:t>Audio duration/usage or compute</w:t>
            </w:r>
          </w:p>
        </w:tc>
      </w:tr>
      <w:tr>
        <w:tc>
          <w:tcPr>
            <w:tcW w:type="dxa" w:w="3312"/>
            <w:vAlign w:val="top"/>
          </w:tcPr>
          <w:p>
            <w:r>
              <w:t>Vector DB</w:t>
            </w:r>
          </w:p>
        </w:tc>
        <w:tc>
          <w:tcPr>
            <w:tcW w:type="dxa" w:w="3312"/>
            <w:vAlign w:val="top"/>
          </w:tcPr>
          <w:p>
            <w:r>
              <w:t>Vector storage/retrieval</w:t>
            </w:r>
          </w:p>
        </w:tc>
        <w:tc>
          <w:tcPr>
            <w:tcW w:type="dxa" w:w="3312"/>
            <w:vAlign w:val="top"/>
          </w:tcPr>
          <w:p>
            <w:r>
              <w:t>Storage/compute/usage</w:t>
            </w:r>
          </w:p>
        </w:tc>
      </w:tr>
      <w:tr>
        <w:tc>
          <w:tcPr>
            <w:tcW w:type="dxa" w:w="3312"/>
            <w:vAlign w:val="top"/>
          </w:tcPr>
          <w:p>
            <w:r>
              <w:t>Cloud Compute</w:t>
            </w:r>
          </w:p>
        </w:tc>
        <w:tc>
          <w:tcPr>
            <w:tcW w:type="dxa" w:w="3312"/>
            <w:vAlign w:val="top"/>
          </w:tcPr>
          <w:p>
            <w:r>
              <w:t>API/processing</w:t>
            </w:r>
          </w:p>
        </w:tc>
        <w:tc>
          <w:tcPr>
            <w:tcW w:type="dxa" w:w="3312"/>
            <w:vAlign w:val="top"/>
          </w:tcPr>
          <w:p>
            <w:r>
              <w:t>Runtime/compute</w:t>
            </w:r>
          </w:p>
        </w:tc>
      </w:tr>
      <w:tr>
        <w:tc>
          <w:tcPr>
            <w:tcW w:type="dxa" w:w="3312"/>
            <w:vAlign w:val="top"/>
          </w:tcPr>
          <w:p>
            <w:r>
              <w:t>Object Storage</w:t>
            </w:r>
          </w:p>
        </w:tc>
        <w:tc>
          <w:tcPr>
            <w:tcW w:type="dxa" w:w="3312"/>
            <w:vAlign w:val="top"/>
          </w:tcPr>
          <w:p>
            <w:r>
              <w:t>Permitted temporary/artifact storage</w:t>
            </w:r>
          </w:p>
        </w:tc>
        <w:tc>
          <w:tcPr>
            <w:tcW w:type="dxa" w:w="3312"/>
            <w:vAlign w:val="top"/>
          </w:tcPr>
          <w:p>
            <w:r>
              <w:t>Storage/data transfer</w:t>
            </w:r>
          </w:p>
        </w:tc>
      </w:tr>
      <w:tr>
        <w:tc>
          <w:tcPr>
            <w:tcW w:type="dxa" w:w="3312"/>
            <w:vAlign w:val="top"/>
          </w:tcPr>
          <w:p>
            <w:r>
              <w:t>Git Hosting</w:t>
            </w:r>
          </w:p>
        </w:tc>
        <w:tc>
          <w:tcPr>
            <w:tcW w:type="dxa" w:w="3312"/>
            <w:vAlign w:val="top"/>
          </w:tcPr>
          <w:p>
            <w:r>
              <w:t>Source control</w:t>
            </w:r>
          </w:p>
        </w:tc>
        <w:tc>
          <w:tcPr>
            <w:tcW w:type="dxa" w:w="3312"/>
            <w:vAlign w:val="top"/>
          </w:tcPr>
          <w:p>
            <w:r>
              <w:t>Users/private repos/plan</w:t>
            </w:r>
          </w:p>
        </w:tc>
      </w:tr>
      <w:tr>
        <w:tc>
          <w:tcPr>
            <w:tcW w:type="dxa" w:w="3312"/>
            <w:vAlign w:val="top"/>
          </w:tcPr>
          <w:p>
            <w:r>
              <w:t>CI/CD</w:t>
            </w:r>
          </w:p>
        </w:tc>
        <w:tc>
          <w:tcPr>
            <w:tcW w:type="dxa" w:w="3312"/>
            <w:vAlign w:val="top"/>
          </w:tcPr>
          <w:p>
            <w:r>
              <w:t>Automated deployment</w:t>
            </w:r>
          </w:p>
        </w:tc>
        <w:tc>
          <w:tcPr>
            <w:tcW w:type="dxa" w:w="3312"/>
            <w:vAlign w:val="top"/>
          </w:tcPr>
          <w:p>
            <w:r>
              <w:t>Included plan or usage</w:t>
            </w:r>
          </w:p>
        </w:tc>
      </w:tr>
      <w:tr>
        <w:tc>
          <w:tcPr>
            <w:tcW w:type="dxa" w:w="3312"/>
            <w:vAlign w:val="top"/>
          </w:tcPr>
          <w:p>
            <w:r>
              <w:t>Monitoring</w:t>
            </w:r>
          </w:p>
        </w:tc>
        <w:tc>
          <w:tcPr>
            <w:tcW w:type="dxa" w:w="3312"/>
            <w:vAlign w:val="top"/>
          </w:tcPr>
          <w:p>
            <w:r>
              <w:t>Logs/metrics/alerts</w:t>
            </w:r>
          </w:p>
        </w:tc>
        <w:tc>
          <w:tcPr>
            <w:tcW w:type="dxa" w:w="3312"/>
            <w:vAlign w:val="top"/>
          </w:tcPr>
          <w:p>
            <w:r>
              <w:t>Volume/usage</w:t>
            </w:r>
          </w:p>
        </w:tc>
      </w:tr>
    </w:tbl>
    <w:p>
      <w:r>
        <w:t>Costs should be finalized only after expected users, requests, content volume, video duration, model choices and deployment architecture are known.</w:t>
      </w:r>
    </w:p>
    <w:p>
      <w:pPr>
        <w:pStyle w:val="Heading1"/>
      </w:pPr>
      <w:r>
        <w:t>23. Client Access &amp; Inputs Required</w:t>
      </w:r>
    </w:p>
    <w:p>
      <w:pPr>
        <w:pStyle w:val="ListBullet"/>
      </w:pPr>
      <w:r>
        <w:t>Access to actual PDF platform/API/read mechanism.</w:t>
      </w:r>
    </w:p>
    <w:p>
      <w:pPr>
        <w:pStyle w:val="ListBullet"/>
      </w:pPr>
      <w:r>
        <w:t>Access to actual video platform/API/download mechanism.</w:t>
      </w:r>
    </w:p>
    <w:p>
      <w:pPr>
        <w:pStyle w:val="ListBullet"/>
      </w:pPr>
      <w:r>
        <w:t>Required credentials, API keys or OAuth/application access.</w:t>
      </w:r>
    </w:p>
    <w:p>
      <w:pPr>
        <w:pStyle w:val="ListBullet"/>
      </w:pPr>
      <w:r>
        <w:t>Client-owned cloud account/project/subscription.</w:t>
      </w:r>
    </w:p>
    <w:p>
      <w:pPr>
        <w:pStyle w:val="ListBullet"/>
      </w:pPr>
      <w:r>
        <w:t>Git repository/organization access and permissions.</w:t>
      </w:r>
    </w:p>
    <w:p>
      <w:pPr>
        <w:pStyle w:val="ListBullet"/>
      </w:pPr>
      <w:r>
        <w:t>Permissions to create/manage required cloud resources.</w:t>
      </w:r>
    </w:p>
    <w:p>
      <w:pPr>
        <w:pStyle w:val="ListBullet"/>
      </w:pPr>
      <w:r>
        <w:t>Confirmation of educational content processing rights.</w:t>
      </w:r>
    </w:p>
    <w:p>
      <w:pPr>
        <w:pStyle w:val="ListBullet"/>
      </w:pPr>
      <w:r>
        <w:t>Curriculum structure: subjects, grades, topics and taxonomy.</w:t>
      </w:r>
    </w:p>
    <w:p>
      <w:pPr>
        <w:pStyle w:val="ListBullet"/>
      </w:pPr>
      <w:r>
        <w:t>Sample student questions and reference answers.</w:t>
      </w:r>
    </w:p>
    <w:p>
      <w:pPr>
        <w:pStyle w:val="ListBullet"/>
      </w:pPr>
      <w:r>
        <w:t>Expected user volume, content volume and response-time requirements.</w:t>
      </w:r>
    </w:p>
    <w:p>
      <w:pPr>
        <w:pStyle w:val="ListBullet"/>
      </w:pPr>
      <w:r>
        <w:t>Security, privacy, compliance and retention requirements.</w:t>
      </w:r>
    </w:p>
    <w:p>
      <w:pPr>
        <w:pStyle w:val="ListBullet"/>
      </w:pPr>
      <w:r>
        <w:t>Domain/DNS and authentication/SSO requirements if applicable.</w:t>
      </w:r>
    </w:p>
    <w:p>
      <w:pPr>
        <w:pStyle w:val="Heading1"/>
      </w:pPr>
      <w:r>
        <w:t>24. Security &amp; Secrets</w:t>
      </w:r>
    </w:p>
    <w:p>
      <w:pPr>
        <w:pStyle w:val="ListBullet"/>
      </w:pPr>
      <w:r>
        <w:t>Never store credentials in source code.</w:t>
      </w:r>
    </w:p>
    <w:p>
      <w:pPr>
        <w:pStyle w:val="ListBullet"/>
      </w:pPr>
      <w:r>
        <w:t>Use managed secrets in production where appropriate.</w:t>
      </w:r>
    </w:p>
    <w:p>
      <w:pPr>
        <w:pStyle w:val="ListBullet"/>
      </w:pPr>
      <w:r>
        <w:t>Apply least-privilege access.</w:t>
      </w:r>
    </w:p>
    <w:p>
      <w:pPr>
        <w:pStyle w:val="ListBullet"/>
      </w:pPr>
      <w:r>
        <w:t>Separate development and production credentials.</w:t>
      </w:r>
    </w:p>
    <w:p>
      <w:pPr>
        <w:pStyle w:val="ListBullet"/>
      </w:pPr>
      <w:r>
        <w:t>Minimize student data collection and retention.</w:t>
      </w:r>
    </w:p>
    <w:p>
      <w:pPr>
        <w:pStyle w:val="ListBullet"/>
      </w:pPr>
      <w:r>
        <w:t>Define authentication/authorization before production.</w:t>
      </w:r>
    </w:p>
    <w:p>
      <w:pPr>
        <w:pStyle w:val="ListBullet"/>
      </w:pPr>
      <w:r>
        <w:t>Enable required audit logging.</w:t>
      </w:r>
    </w:p>
    <w:p>
      <w:pPr>
        <w:pStyle w:val="Heading1"/>
      </w:pPr>
      <w:r>
        <w:t>25. Logging, Monitoring &amp; Observability</w:t>
      </w:r>
    </w:p>
    <w:p>
      <w:pPr>
        <w:pStyle w:val="ListBullet"/>
      </w:pPr>
      <w:r>
        <w:t>Log errors and important processing events.</w:t>
      </w:r>
    </w:p>
    <w:p>
      <w:pPr>
        <w:pStyle w:val="ListBullet"/>
      </w:pPr>
      <w:r>
        <w:t>Track ingestion/indexing/retrieval/generation failures.</w:t>
      </w:r>
    </w:p>
    <w:p>
      <w:pPr>
        <w:pStyle w:val="ListBullet"/>
      </w:pPr>
      <w:r>
        <w:t>Monitor API health and latency.</w:t>
      </w:r>
    </w:p>
    <w:p>
      <w:pPr>
        <w:pStyle w:val="ListBullet"/>
      </w:pPr>
      <w:r>
        <w:t>Monitor model/API usage and cost.</w:t>
      </w:r>
    </w:p>
    <w:p>
      <w:pPr>
        <w:pStyle w:val="ListBullet"/>
      </w:pPr>
      <w:r>
        <w:t>Monitor vector/storage usage.</w:t>
      </w:r>
    </w:p>
    <w:p>
      <w:pPr>
        <w:pStyle w:val="ListBullet"/>
      </w:pPr>
      <w:r>
        <w:t>Production should provide alerts for critical failures and thresholds.</w:t>
      </w:r>
    </w:p>
    <w:p>
      <w:pPr>
        <w:pStyle w:val="Heading1"/>
      </w:pPr>
      <w:r>
        <w:t>26. Backup &amp; Recovery</w:t>
      </w:r>
    </w:p>
    <w:p>
      <w:pPr>
        <w:pStyle w:val="ListBullet"/>
      </w:pPr>
      <w:r>
        <w:t>Define backup requirements for application data/configuration/indexes where applicable.</w:t>
      </w:r>
    </w:p>
    <w:p>
      <w:pPr>
        <w:pStyle w:val="ListBullet"/>
      </w:pPr>
      <w:r>
        <w:t>Do not back up content that cannot legally/technically be stored.</w:t>
      </w:r>
    </w:p>
    <w:p>
      <w:pPr>
        <w:pStyle w:val="ListBullet"/>
      </w:pPr>
      <w:r>
        <w:t>Define production recovery procedures.</w:t>
      </w:r>
    </w:p>
    <w:p>
      <w:pPr>
        <w:pStyle w:val="ListBullet"/>
      </w:pPr>
      <w:r>
        <w:t>Test recovery according to availability requirements.</w:t>
      </w:r>
    </w:p>
    <w:p>
      <w:pPr>
        <w:pStyle w:val="Heading1"/>
      </w:pPr>
      <w:r>
        <w:t>27. Scalability</w:t>
      </w:r>
    </w:p>
    <w:p>
      <w:pPr>
        <w:pStyle w:val="ListBullet"/>
      </w:pPr>
      <w:r>
        <w:t>New source platforms should be addable through independent adapters.</w:t>
      </w:r>
    </w:p>
    <w:p>
      <w:pPr>
        <w:pStyle w:val="ListBullet"/>
      </w:pPr>
      <w:r>
        <w:t>Support incremental ingestion.</w:t>
      </w:r>
    </w:p>
    <w:p>
      <w:pPr>
        <w:pStyle w:val="ListBullet"/>
      </w:pPr>
      <w:r>
        <w:t>Vector indexing must support curriculum growth.</w:t>
      </w:r>
    </w:p>
    <w:p>
      <w:pPr>
        <w:pStyle w:val="ListBullet"/>
      </w:pPr>
      <w:r>
        <w:t>Separate processing workloads when scale requires it.</w:t>
      </w:r>
    </w:p>
    <w:p>
      <w:pPr>
        <w:pStyle w:val="ListBullet"/>
      </w:pPr>
      <w:r>
        <w:t>Choose models/infrastructure based on concurrent users and latency.</w:t>
      </w:r>
    </w:p>
    <w:p>
      <w:pPr>
        <w:pStyle w:val="Heading1"/>
      </w:pPr>
      <w:r>
        <w:t>28. Ownership &amp; Handover</w:t>
      </w:r>
    </w:p>
    <w:p>
      <w:pPr>
        <w:pStyle w:val="ListBullet"/>
      </w:pPr>
      <w:r>
        <w:t>Client/project owner should own production cloud resources and repositories.</w:t>
      </w:r>
    </w:p>
    <w:p>
      <w:pPr>
        <w:pStyle w:val="ListBullet"/>
      </w:pPr>
      <w:r>
        <w:t>Production credentials remain under client control.</w:t>
      </w:r>
    </w:p>
    <w:p>
      <w:pPr>
        <w:pStyle w:val="ListBullet"/>
      </w:pPr>
      <w:r>
        <w:t>Provide technical, deployment and operational documentation at handover.</w:t>
      </w:r>
    </w:p>
    <w:p>
      <w:pPr>
        <w:pStyle w:val="ListBullet"/>
      </w:pPr>
      <w:r>
        <w:t>Prefer client-owned third-party accounts.</w:t>
      </w:r>
    </w:p>
    <w:p>
      <w:pPr>
        <w:pStyle w:val="ListBullet"/>
      </w:pPr>
      <w:r>
        <w:t>Agree support and maintenance responsibilities before production.</w:t>
      </w:r>
    </w:p>
    <w:p>
      <w:pPr>
        <w:pStyle w:val="Heading1"/>
      </w:pPr>
      <w:r>
        <w:t>29.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4968"/>
            <w:vAlign w:val="top"/>
          </w:tcPr>
          <w:p>
            <w:r>
              <w:t>1 – POC</w:t>
            </w:r>
          </w:p>
        </w:tc>
        <w:tc>
          <w:tcPr>
            <w:tcW w:type="dxa" w:w="4968"/>
            <w:vAlign w:val="top"/>
          </w:tcPr>
          <w:p>
            <w:r>
              <w:t>Representative PDF/video sources; complete RAG demonstration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2 – Client Integration</w:t>
            </w:r>
          </w:p>
        </w:tc>
        <w:tc>
          <w:tcPr>
            <w:tcW w:type="dxa" w:w="4968"/>
            <w:vAlign w:val="top"/>
          </w:tcPr>
          <w:p>
            <w:r>
              <w:t>Connect actual platforms and validate permissions</w:t>
            </w:r>
          </w:p>
        </w:tc>
      </w:tr>
      <w:tr>
        <w:tc>
          <w:tcPr>
            <w:tcW w:type="dxa" w:w="4968"/>
            <w:vAlign w:val="top"/>
          </w:tcPr>
          <w:p>
            <w:r>
              <w:t>3 – Production Architecture</w:t>
            </w:r>
          </w:p>
        </w:tc>
        <w:tc>
          <w:tcPr>
            <w:tcW w:type="dxa" w:w="4968"/>
            <w:vAlign w:val="top"/>
          </w:tcPr>
          <w:p>
            <w:r>
              <w:t>Finalize cloud, environments, security, Git and deployment</w:t>
            </w:r>
          </w:p>
        </w:tc>
      </w:tr>
      <w:tr>
        <w:tc>
          <w:tcPr>
            <w:tcW w:type="dxa" w:w="4968"/>
            <w:vAlign w:val="top"/>
          </w:tcPr>
          <w:p>
            <w:r>
              <w:t>4 – Production Build</w:t>
            </w:r>
          </w:p>
        </w:tc>
        <w:tc>
          <w:tcPr>
            <w:tcW w:type="dxa" w:w="4968"/>
            <w:vAlign w:val="top"/>
          </w:tcPr>
          <w:p>
            <w:r>
              <w:t>Production ingestion, RAG, API/UI, evaluation and observability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5 – Testing &amp; UAT</w:t>
            </w:r>
          </w:p>
        </w:tc>
        <w:tc>
          <w:tcPr>
            <w:tcW w:type="dxa" w:w="4968"/>
            <w:vAlign w:val="top"/>
          </w:tcPr>
          <w:p>
            <w:r>
              <w:t>Functional, integration, security, performance and acceptance testing</w:t>
            </w:r>
          </w:p>
        </w:tc>
      </w:tr>
      <w:tr>
        <w:tc>
          <w:tcPr>
            <w:tcW w:type="dxa" w:w="4968"/>
            <w:vAlign w:val="top"/>
          </w:tcPr>
          <w:p>
            <w:r>
              <w:t>6 – Deployment &amp; Handover</w:t>
            </w:r>
          </w:p>
        </w:tc>
        <w:tc>
          <w:tcPr>
            <w:tcW w:type="dxa" w:w="4968"/>
            <w:vAlign w:val="top"/>
          </w:tcPr>
          <w:p>
            <w:r>
              <w:t>Production launch, documentation, access handover and readiness</w:t>
            </w:r>
          </w:p>
        </w:tc>
      </w:tr>
    </w:tbl>
    <w:p>
      <w:pPr>
        <w:pStyle w:val="Heading1"/>
      </w:pPr>
      <w:r>
        <w:t>30. Key Assumptions</w:t>
      </w:r>
    </w:p>
    <w:p>
      <w:pPr>
        <w:pStyle w:val="ListBullet"/>
      </w:pPr>
      <w:r>
        <w:t>Client/project owner pays for production infrastructure and third-party services.</w:t>
      </w:r>
    </w:p>
    <w:p>
      <w:pPr>
        <w:pStyle w:val="ListBullet"/>
      </w:pPr>
      <w:r>
        <w:t>Client provides required platform access and permissions.</w:t>
      </w:r>
    </w:p>
    <w:p>
      <w:pPr>
        <w:pStyle w:val="ListBullet"/>
      </w:pPr>
      <w:r>
        <w:t>Client confirms content processing rights.</w:t>
      </w:r>
    </w:p>
    <w:p>
      <w:pPr>
        <w:pStyle w:val="ListBullet"/>
      </w:pPr>
      <w:r>
        <w:t>POC is not production-ready software.</w:t>
      </w:r>
    </w:p>
    <w:p>
      <w:pPr>
        <w:pStyle w:val="ListBullet"/>
      </w:pPr>
      <w:r>
        <w:t>Technology choices may change after platform/API/data-volume review.</w:t>
      </w:r>
    </w:p>
    <w:p>
      <w:pPr>
        <w:pStyle w:val="ListBullet"/>
      </w:pPr>
      <w:r>
        <w:t>Cost estimates remain indicative until requirements are finalized.</w:t>
      </w:r>
    </w:p>
    <w:p>
      <w:pPr>
        <w:pStyle w:val="ListBullet"/>
      </w:pPr>
      <w:r>
        <w:t>Accuracy results depend on evaluation-data quality and coverage.</w:t>
      </w:r>
    </w:p>
    <w:p>
      <w:pPr>
        <w:pStyle w:val="Heading1"/>
      </w:pPr>
      <w:r>
        <w:t>31. Recommended Initial Technology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Initial Direction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Backend/API</w:t>
            </w:r>
          </w:p>
        </w:tc>
        <w:tc>
          <w:tcPr>
            <w:tcW w:type="dxa" w:w="4968"/>
            <w:vAlign w:val="top"/>
          </w:tcPr>
          <w:p>
            <w:r>
              <w:t>Python + FastAPI</w:t>
            </w:r>
          </w:p>
        </w:tc>
      </w:tr>
      <w:tr>
        <w:tc>
          <w:tcPr>
            <w:tcW w:type="dxa" w:w="4968"/>
            <w:vAlign w:val="top"/>
          </w:tcPr>
          <w:p>
            <w:r>
              <w:t>Architecture</w:t>
            </w:r>
          </w:p>
        </w:tc>
        <w:tc>
          <w:tcPr>
            <w:tcW w:type="dxa" w:w="4968"/>
            <w:vAlign w:val="top"/>
          </w:tcPr>
          <w:p>
            <w:r>
              <w:t>RAG-based modular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PDF Processing</w:t>
            </w:r>
          </w:p>
        </w:tc>
        <w:tc>
          <w:tcPr>
            <w:tcW w:type="dxa" w:w="4968"/>
            <w:vAlign w:val="top"/>
          </w:tcPr>
          <w:p>
            <w:r>
              <w:t>Python extraction compatible with permitted access</w:t>
            </w:r>
          </w:p>
        </w:tc>
      </w:tr>
      <w:tr>
        <w:tc>
          <w:tcPr>
            <w:tcW w:type="dxa" w:w="4968"/>
            <w:vAlign w:val="top"/>
          </w:tcPr>
          <w:p>
            <w:r>
              <w:t>Video</w:t>
            </w:r>
          </w:p>
        </w:tc>
        <w:tc>
          <w:tcPr>
            <w:tcW w:type="dxa" w:w="4968"/>
            <w:vAlign w:val="top"/>
          </w:tcPr>
          <w:p>
            <w:r>
              <w:t>Download when permitted + audio extraction + Speech-to-Text</w:t>
            </w:r>
          </w:p>
        </w:tc>
      </w:tr>
      <w:tr>
        <w:tc>
          <w:tcPr>
            <w:tcW w:type="dxa" w:w="4968"/>
            <w:vAlign w:val="top"/>
          </w:tcPr>
          <w:p>
            <w:r>
              <w:t>Embeddings</w:t>
            </w:r>
          </w:p>
        </w:tc>
        <w:tc>
          <w:tcPr>
            <w:tcW w:type="dxa" w:w="4968"/>
            <w:vAlign w:val="top"/>
          </w:tcPr>
          <w:p>
            <w:r>
              <w:t>Production-appropriate embedding model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Store</w:t>
            </w:r>
          </w:p>
        </w:tc>
        <w:tc>
          <w:tcPr>
            <w:tcW w:type="dxa" w:w="4968"/>
            <w:vAlign w:val="top"/>
          </w:tcPr>
          <w:p>
            <w:r>
              <w:t>Vector DB selected for scale/cloud</w:t>
            </w:r>
          </w:p>
        </w:tc>
      </w:tr>
      <w:tr>
        <w:tc>
          <w:tcPr>
            <w:tcW w:type="dxa" w:w="4968"/>
            <w:vAlign w:val="top"/>
          </w:tcPr>
          <w:p>
            <w:r>
              <w:t>LLM</w:t>
            </w:r>
          </w:p>
        </w:tc>
        <w:tc>
          <w:tcPr>
            <w:tcW w:type="dxa" w:w="4968"/>
            <w:vAlign w:val="top"/>
          </w:tcPr>
          <w:p>
            <w:r>
              <w:t>Selected for quality, latency, privacy and cost</w:t>
            </w:r>
          </w:p>
        </w:tc>
      </w:tr>
      <w:tr>
        <w:tc>
          <w:tcPr>
            <w:tcW w:type="dxa" w:w="4968"/>
            <w:vAlign w:val="top"/>
          </w:tcPr>
          <w:p>
            <w:r>
              <w:t>Database</w:t>
            </w:r>
          </w:p>
        </w:tc>
        <w:tc>
          <w:tcPr>
            <w:tcW w:type="dxa" w:w="4968"/>
            <w:vAlign w:val="top"/>
          </w:tcPr>
          <w:p>
            <w:r>
              <w:t>Relational/document DB if application metadata requires</w:t>
            </w:r>
          </w:p>
        </w:tc>
      </w:tr>
      <w:tr>
        <w:tc>
          <w:tcPr>
            <w:tcW w:type="dxa" w:w="4968"/>
            <w:vAlign w:val="top"/>
          </w:tcPr>
          <w:p>
            <w:r>
              <w:t>Containerization</w:t>
            </w:r>
          </w:p>
        </w:tc>
        <w:tc>
          <w:tcPr>
            <w:tcW w:type="dxa" w:w="4968"/>
            <w:vAlign w:val="top"/>
          </w:tcPr>
          <w:p>
            <w:r>
              <w:t>Docker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 Control</w:t>
            </w:r>
          </w:p>
        </w:tc>
        <w:tc>
          <w:tcPr>
            <w:tcW w:type="dxa" w:w="4968"/>
            <w:vAlign w:val="top"/>
          </w:tcPr>
          <w:p>
            <w:r>
              <w:t>Git-based repository</w:t>
            </w:r>
          </w:p>
        </w:tc>
      </w:tr>
      <w:tr>
        <w:tc>
          <w:tcPr>
            <w:tcW w:type="dxa" w:w="4968"/>
            <w:vAlign w:val="top"/>
          </w:tcPr>
          <w:p>
            <w:r>
              <w:t>Deployment</w:t>
            </w:r>
          </w:p>
        </w:tc>
        <w:tc>
          <w:tcPr>
            <w:tcW w:type="dxa" w:w="4968"/>
            <w:vAlign w:val="top"/>
          </w:tcPr>
          <w:p>
            <w:r>
              <w:t>Cloud; CI/CD recommended</w:t>
            </w:r>
          </w:p>
        </w:tc>
      </w:tr>
      <w:tr>
        <w:tc>
          <w:tcPr>
            <w:tcW w:type="dxa" w:w="4968"/>
            <w:vAlign w:val="top"/>
          </w:tcPr>
          <w:p>
            <w:r>
              <w:t>Observability</w:t>
            </w:r>
          </w:p>
        </w:tc>
        <w:tc>
          <w:tcPr>
            <w:tcW w:type="dxa" w:w="4968"/>
            <w:vAlign w:val="top"/>
          </w:tcPr>
          <w:p>
            <w:r>
              <w:t>Cloud-native or equivalent logging/monitoring</w:t>
            </w:r>
          </w:p>
        </w:tc>
      </w:tr>
    </w:tbl>
    <w:p>
      <w:pPr>
        <w:pStyle w:val="Heading1"/>
      </w:pPr>
      <w:r>
        <w:t>32. Decisions Required Before Production Development</w:t>
      </w:r>
    </w:p>
    <w:p>
      <w:pPr>
        <w:pStyle w:val="ListBullet"/>
      </w:pPr>
      <w:r>
        <w:t>Confirm both client source platforms and access mechanisms.</w:t>
      </w:r>
    </w:p>
    <w:p>
      <w:pPr>
        <w:pStyle w:val="ListBullet"/>
      </w:pPr>
      <w:r>
        <w:t>Confirm PDF read-only and video download permissions.</w:t>
      </w:r>
    </w:p>
    <w:p>
      <w:pPr>
        <w:pStyle w:val="ListBullet"/>
      </w:pPr>
      <w:r>
        <w:t>Select production cloud provider.</w:t>
      </w:r>
    </w:p>
    <w:p>
      <w:pPr>
        <w:pStyle w:val="ListBullet"/>
      </w:pPr>
      <w:r>
        <w:t>Confirm Git ownership and access.</w:t>
      </w:r>
    </w:p>
    <w:p>
      <w:pPr>
        <w:pStyle w:val="ListBullet"/>
      </w:pPr>
      <w:r>
        <w:t>Confirm environments.</w:t>
      </w:r>
    </w:p>
    <w:p>
      <w:pPr>
        <w:pStyle w:val="ListBullet"/>
      </w:pPr>
      <w:r>
        <w:t>Select LLM, embedding and Speech-to-Text services.</w:t>
      </w:r>
    </w:p>
    <w:p>
      <w:pPr>
        <w:pStyle w:val="ListBullet"/>
      </w:pPr>
      <w:r>
        <w:t>Select vector database.</w:t>
      </w:r>
    </w:p>
    <w:p>
      <w:pPr>
        <w:pStyle w:val="ListBullet"/>
      </w:pPr>
      <w:r>
        <w:t>Define authentication/authorization.</w:t>
      </w:r>
    </w:p>
    <w:p>
      <w:pPr>
        <w:pStyle w:val="ListBullet"/>
      </w:pPr>
      <w:r>
        <w:t>Define privacy, retention and security requirements.</w:t>
      </w:r>
    </w:p>
    <w:p>
      <w:pPr>
        <w:pStyle w:val="ListBullet"/>
      </w:pPr>
      <w:r>
        <w:t>Define evaluation dataset and acceptance metrics.</w:t>
      </w:r>
    </w:p>
    <w:p>
      <w:pPr>
        <w:pStyle w:val="ListBullet"/>
      </w:pPr>
      <w:r>
        <w:t>Confirm users, content volume and performance requirements.</w:t>
      </w:r>
    </w:p>
    <w:p>
      <w:pPr>
        <w:pStyle w:val="ListBullet"/>
      </w:pPr>
      <w:r>
        <w:t>Finalize recurring service costs.</w:t>
      </w:r>
    </w:p>
    <w:p>
      <w:pPr>
        <w:pStyle w:val="ListBullet"/>
      </w:pPr>
      <w:r>
        <w:t>Agree ownership, support and maintenance.</w:t>
      </w:r>
    </w:p>
    <w:p>
      <w:pPr>
        <w:pStyle w:val="Heading1"/>
      </w:pPr>
      <w:r>
        <w:t>33. POC Success Criteria</w:t>
      </w:r>
    </w:p>
    <w:p>
      <w:pPr>
        <w:pStyle w:val="ListBullet"/>
      </w:pPr>
      <w:r>
        <w:t>Two independent educational platforms are integrated.</w:t>
      </w:r>
    </w:p>
    <w:p>
      <w:pPr>
        <w:pStyle w:val="ListBullet"/>
      </w:pPr>
      <w:r>
        <w:t>PDF is processed without downloading/persisting it.</w:t>
      </w:r>
    </w:p>
    <w:p>
      <w:pPr>
        <w:pStyle w:val="ListBullet"/>
      </w:pPr>
      <w:r>
        <w:t>Permitted video is downloaded, converted to audio and transcribed.</w:t>
      </w:r>
    </w:p>
    <w:p>
      <w:pPr>
        <w:pStyle w:val="ListBullet"/>
      </w:pPr>
      <w:r>
        <w:t>Both sources are indexed in a common retrieval layer.</w:t>
      </w:r>
    </w:p>
    <w:p>
      <w:pPr>
        <w:pStyle w:val="ListBullet"/>
      </w:pPr>
      <w:r>
        <w:t>Student questions retrieve relevant curriculum content.</w:t>
      </w:r>
    </w:p>
    <w:p>
      <w:pPr>
        <w:pStyle w:val="ListBullet"/>
      </w:pPr>
      <w:r>
        <w:t>LLM produces grounded answers.</w:t>
      </w:r>
    </w:p>
    <w:p>
      <w:pPr>
        <w:pStyle w:val="ListBullet"/>
      </w:pPr>
      <w:r>
        <w:t>Answers include traceable citations/resources.</w:t>
      </w:r>
    </w:p>
    <w:p>
      <w:pPr>
        <w:pStyle w:val="ListBullet"/>
      </w:pPr>
      <w:r>
        <w:t>Answers include confidence information.</w:t>
      </w:r>
    </w:p>
    <w:p>
      <w:pPr>
        <w:pStyle w:val="ListBullet"/>
      </w:pPr>
      <w:r>
        <w:t>POC provides evaluation-based accuracy score.</w:t>
      </w:r>
    </w:p>
    <w:p>
      <w:pPr>
        <w:pStyle w:val="ListBullet"/>
      </w:pPr>
      <w:r>
        <w:t>Insufficient evidence is handled without intentional unsupported generation.</w:t>
      </w:r>
    </w:p>
    <w:p>
      <w:pPr>
        <w:pStyle w:val="ListBullet"/>
      </w:pPr>
      <w:r>
        <w:t>Complete flow is demonstrable end-to-end.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