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F8A" w:rsidRDefault="008722DA" w:rsidP="00C94CE5">
      <w:pPr>
        <w:pStyle w:val="Caption"/>
        <w:jc w:val="center"/>
        <w:rPr>
          <w:sz w:val="28"/>
        </w:rPr>
      </w:pPr>
      <w:bookmarkStart w:id="0" w:name="_Toc134518204"/>
      <w:bookmarkStart w:id="1" w:name="_Toc136313658"/>
      <w:bookmarkStart w:id="2" w:name="_Toc23587312"/>
      <w:bookmarkStart w:id="3" w:name="_Toc23590042"/>
      <w:bookmarkStart w:id="4" w:name="_Toc23760116"/>
      <w:bookmarkStart w:id="5" w:name="_Toc23760634"/>
      <w:bookmarkStart w:id="6" w:name="_Toc32557369"/>
      <w:r>
        <w:rPr>
          <w:noProof/>
        </w:rPr>
        <w:drawing>
          <wp:anchor distT="0" distB="0" distL="114300" distR="114300" simplePos="0" relativeHeight="251673088" behindDoc="0" locked="0" layoutInCell="0" allowOverlap="1">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D61309" w:rsidRPr="00D61309">
        <w:rPr>
          <w:noProof/>
        </w:rPr>
        <w:pict>
          <v:shapetype id="_x0000_t202" coordsize="21600,21600" o:spt="202" path="m,l,21600r21600,l21600,xe">
            <v:stroke joinstyle="miter"/>
            <v:path gradientshapeok="t" o:connecttype="rect"/>
          </v:shapetype>
          <v:shape id="_x0000_s1027" type="#_x0000_t202" style="position:absolute;left:0;text-align:left;margin-left:118.05pt;margin-top:177.95pt;width:435.75pt;height:142.3pt;z-index:251654656;mso-position-horizontal-relative:page;mso-position-vertical-relative:page" filled="f" stroked="f">
            <v:textbox style="mso-next-textbox:#_x0000_s1027">
              <w:txbxContent>
                <w:p w:rsidR="003A7153" w:rsidRPr="00A60117" w:rsidRDefault="003A7153" w:rsidP="00EC40A1">
                  <w:pPr>
                    <w:pStyle w:val="Eyebrow"/>
                  </w:pPr>
                  <w:r>
                    <w:t>Legal Playbook</w:t>
                  </w:r>
                </w:p>
                <w:p w:rsidR="003A7153" w:rsidRPr="002C20E3" w:rsidRDefault="003A7153" w:rsidP="00B83EB3">
                  <w:pPr>
                    <w:pStyle w:val="Title"/>
                  </w:pPr>
                  <w:r w:rsidRPr="00CB2C14">
                    <w:t>NE</w:t>
                  </w:r>
                  <w:r>
                    <w:t xml:space="preserve">TAPP COPYRIGHT </w:t>
                  </w:r>
                  <w:r w:rsidR="006C6DBF">
                    <w:t xml:space="preserve">AND TRADEMARK  </w:t>
                  </w:r>
                  <w:r>
                    <w:t>NOTICES</w:t>
                  </w:r>
                </w:p>
                <w:p w:rsidR="003A7153" w:rsidRPr="000A3DEC" w:rsidRDefault="003A7153" w:rsidP="00EC40A1">
                  <w:pPr>
                    <w:pStyle w:val="Authordate"/>
                    <w:spacing w:line="240" w:lineRule="exact"/>
                  </w:pPr>
                  <w:r>
                    <w:t>Legal Department, NetApp</w:t>
                  </w:r>
                  <w:r>
                    <w:br/>
                  </w:r>
                  <w:r w:rsidR="00B83EB3">
                    <w:t xml:space="preserve">September </w:t>
                  </w:r>
                  <w:r w:rsidRPr="00BD6ED4">
                    <w:t xml:space="preserve"> </w:t>
                  </w:r>
                  <w:r>
                    <w:t>2011</w:t>
                  </w:r>
                </w:p>
              </w:txbxContent>
            </v:textbox>
            <w10:wrap anchorx="page" anchory="page"/>
            <w10:anchorlock/>
          </v:shape>
        </w:pict>
      </w:r>
      <w:r w:rsidR="00D61309" w:rsidRPr="00D61309">
        <w:rPr>
          <w:noProof/>
        </w:rPr>
        <w:pict>
          <v:shape id="_x0000_s1028" type="#_x0000_t202" style="position:absolute;left:0;text-align:left;margin-left:118.05pt;margin-top:612.2pt;width:6in;height:153pt;z-index:251655680;mso-position-horizontal-relative:page;mso-position-vertical-relative:page" o:allowoverlap="f" filled="f" stroked="f">
            <v:textbox style="mso-next-textbox:#_x0000_s1028">
              <w:txbxContent>
                <w:p w:rsidR="003A7153" w:rsidRPr="002C20E3" w:rsidRDefault="003A7153" w:rsidP="00EC40A1">
                  <w:pPr>
                    <w:pStyle w:val="Subtitle"/>
                  </w:pPr>
                  <w:r w:rsidRPr="00CB2C14">
                    <w:t>PURPOSE:</w:t>
                  </w:r>
                </w:p>
                <w:p w:rsidR="003A7153" w:rsidRDefault="003A7153" w:rsidP="00CB2C14">
                  <w:pPr>
                    <w:pStyle w:val="BodyText"/>
                  </w:pPr>
                  <w:r>
                    <w:t>This playbook aims to provide guidance to NetApp release engineering groups, writers, editors, technical publication, marketing, press release and public relations teams, and other employees, contractors, and vendors for generating proprietary rights notices (including copyright, trademark, proprietary rights, and government restricted rights notices) to protect NetApp intellectual property in software, documentation, marketing collateral, website content, and other content created for NetApp.</w:t>
                  </w:r>
                </w:p>
                <w:p w:rsidR="003A7153" w:rsidRPr="00491108" w:rsidRDefault="003A7153" w:rsidP="00CB2C14">
                  <w:pPr>
                    <w:pStyle w:val="BodyText"/>
                    <w:rPr>
                      <w:lang w:val="fr-FR"/>
                    </w:rPr>
                  </w:pPr>
                  <w:r>
                    <w:t>This playbook is not designed nor intended for use in licensing NetApp intellectual property.</w:t>
                  </w:r>
                </w:p>
              </w:txbxContent>
            </v:textbox>
            <w10:wrap anchorx="page" anchory="page"/>
            <w10:anchorlock/>
          </v:shape>
        </w:pict>
      </w:r>
      <w:r w:rsidR="00EC40A1">
        <w:br w:type="page"/>
      </w:r>
      <w:bookmarkStart w:id="7" w:name="OLE_LINK5"/>
      <w:bookmarkEnd w:id="0"/>
      <w:bookmarkEnd w:id="1"/>
      <w:bookmarkEnd w:id="2"/>
      <w:bookmarkEnd w:id="3"/>
      <w:bookmarkEnd w:id="4"/>
      <w:bookmarkEnd w:id="5"/>
      <w:bookmarkEnd w:id="6"/>
      <w:r w:rsidR="00FD7F8A" w:rsidRPr="00C94CE5">
        <w:rPr>
          <w:sz w:val="28"/>
        </w:rPr>
        <w:lastRenderedPageBreak/>
        <w:t>TABLE OF CONTENTS</w:t>
      </w:r>
    </w:p>
    <w:p w:rsidR="00C94CE5" w:rsidRPr="00C94CE5" w:rsidRDefault="00C94CE5" w:rsidP="00C94CE5">
      <w:pPr>
        <w:pStyle w:val="Graphic"/>
      </w:pPr>
    </w:p>
    <w:p w:rsidR="00E9612C" w:rsidRDefault="00D61309">
      <w:pPr>
        <w:pStyle w:val="TOC1"/>
        <w:rPr>
          <w:rFonts w:asciiTheme="minorHAnsi" w:eastAsiaTheme="minorEastAsia" w:hAnsiTheme="minorHAnsi" w:cstheme="minorBidi"/>
          <w:b w:val="0"/>
          <w:caps w:val="0"/>
          <w:color w:val="auto"/>
          <w:sz w:val="22"/>
        </w:rPr>
      </w:pPr>
      <w:r>
        <w:rPr>
          <w:b w:val="0"/>
          <w:caps w:val="0"/>
        </w:rPr>
        <w:fldChar w:fldCharType="begin"/>
      </w:r>
      <w:r w:rsidR="00FD7F8A">
        <w:rPr>
          <w:b w:val="0"/>
          <w:caps w:val="0"/>
        </w:rPr>
        <w:instrText xml:space="preserve"> TOC \h \z \t "Heading 1,1,Heading 2,2" </w:instrText>
      </w:r>
      <w:r>
        <w:rPr>
          <w:b w:val="0"/>
          <w:caps w:val="0"/>
        </w:rPr>
        <w:fldChar w:fldCharType="separate"/>
      </w:r>
      <w:hyperlink w:anchor="_Toc301783557" w:history="1">
        <w:r w:rsidR="00E9612C" w:rsidRPr="00361029">
          <w:rPr>
            <w:rStyle w:val="Hyperlink"/>
          </w:rPr>
          <w:t>1.</w:t>
        </w:r>
        <w:r w:rsidR="00E9612C">
          <w:rPr>
            <w:rFonts w:asciiTheme="minorHAnsi" w:eastAsiaTheme="minorEastAsia" w:hAnsiTheme="minorHAnsi" w:cstheme="minorBidi"/>
            <w:b w:val="0"/>
            <w:caps w:val="0"/>
            <w:color w:val="auto"/>
            <w:sz w:val="22"/>
          </w:rPr>
          <w:tab/>
        </w:r>
        <w:r w:rsidR="00E9612C" w:rsidRPr="00361029">
          <w:rPr>
            <w:rStyle w:val="Hyperlink"/>
          </w:rPr>
          <w:t xml:space="preserve">Introduction to </w:t>
        </w:r>
        <w:r w:rsidR="00DD6F93" w:rsidRPr="00361029">
          <w:rPr>
            <w:rStyle w:val="Hyperlink"/>
          </w:rPr>
          <w:t>Copyright</w:t>
        </w:r>
        <w:r w:rsidR="00DD6F93">
          <w:rPr>
            <w:rStyle w:val="Hyperlink"/>
          </w:rPr>
          <w:t xml:space="preserve"> NOTICES</w:t>
        </w:r>
        <w:r w:rsidR="00E9612C">
          <w:rPr>
            <w:webHidden/>
          </w:rPr>
          <w:tab/>
        </w:r>
        <w:r>
          <w:rPr>
            <w:webHidden/>
          </w:rPr>
          <w:fldChar w:fldCharType="begin"/>
        </w:r>
        <w:r w:rsidR="00E9612C">
          <w:rPr>
            <w:webHidden/>
          </w:rPr>
          <w:instrText xml:space="preserve"> PAGEREF _Toc301783557 \h </w:instrText>
        </w:r>
        <w:r>
          <w:rPr>
            <w:webHidden/>
          </w:rPr>
        </w:r>
        <w:r>
          <w:rPr>
            <w:webHidden/>
          </w:rPr>
          <w:fldChar w:fldCharType="separate"/>
        </w:r>
        <w:r w:rsidR="00364EE5">
          <w:rPr>
            <w:webHidden/>
          </w:rPr>
          <w:t>3</w:t>
        </w:r>
        <w:r>
          <w:rPr>
            <w:webHidden/>
          </w:rPr>
          <w:fldChar w:fldCharType="end"/>
        </w:r>
      </w:hyperlink>
    </w:p>
    <w:p w:rsidR="00E9612C" w:rsidRDefault="00D61309">
      <w:pPr>
        <w:pStyle w:val="TOC1"/>
        <w:rPr>
          <w:rFonts w:asciiTheme="minorHAnsi" w:eastAsiaTheme="minorEastAsia" w:hAnsiTheme="minorHAnsi" w:cstheme="minorBidi"/>
          <w:b w:val="0"/>
          <w:caps w:val="0"/>
          <w:color w:val="auto"/>
          <w:sz w:val="22"/>
        </w:rPr>
      </w:pPr>
      <w:hyperlink w:anchor="_Toc301783558" w:history="1">
        <w:r w:rsidR="00E9612C" w:rsidRPr="00361029">
          <w:rPr>
            <w:rStyle w:val="Hyperlink"/>
          </w:rPr>
          <w:t>2.</w:t>
        </w:r>
        <w:r w:rsidR="00E9612C">
          <w:rPr>
            <w:rFonts w:asciiTheme="minorHAnsi" w:eastAsiaTheme="minorEastAsia" w:hAnsiTheme="minorHAnsi" w:cstheme="minorBidi"/>
            <w:b w:val="0"/>
            <w:caps w:val="0"/>
            <w:color w:val="auto"/>
            <w:sz w:val="22"/>
          </w:rPr>
          <w:tab/>
        </w:r>
        <w:r w:rsidR="00E9612C" w:rsidRPr="00361029">
          <w:rPr>
            <w:rStyle w:val="Hyperlink"/>
          </w:rPr>
          <w:t>International Copyright Overview</w:t>
        </w:r>
        <w:r w:rsidR="00E9612C">
          <w:rPr>
            <w:webHidden/>
          </w:rPr>
          <w:tab/>
        </w:r>
        <w:r>
          <w:rPr>
            <w:webHidden/>
          </w:rPr>
          <w:fldChar w:fldCharType="begin"/>
        </w:r>
        <w:r w:rsidR="00E9612C">
          <w:rPr>
            <w:webHidden/>
          </w:rPr>
          <w:instrText xml:space="preserve"> PAGEREF _Toc301783558 \h </w:instrText>
        </w:r>
        <w:r>
          <w:rPr>
            <w:webHidden/>
          </w:rPr>
        </w:r>
        <w:r>
          <w:rPr>
            <w:webHidden/>
          </w:rPr>
          <w:fldChar w:fldCharType="separate"/>
        </w:r>
        <w:r w:rsidR="00364EE5">
          <w:rPr>
            <w:webHidden/>
          </w:rPr>
          <w:t>3</w:t>
        </w:r>
        <w:r>
          <w:rPr>
            <w:webHidden/>
          </w:rPr>
          <w:fldChar w:fldCharType="end"/>
        </w:r>
      </w:hyperlink>
    </w:p>
    <w:p w:rsidR="00E9612C" w:rsidRDefault="00D61309">
      <w:pPr>
        <w:pStyle w:val="TOC1"/>
        <w:rPr>
          <w:rFonts w:asciiTheme="minorHAnsi" w:eastAsiaTheme="minorEastAsia" w:hAnsiTheme="minorHAnsi" w:cstheme="minorBidi"/>
          <w:b w:val="0"/>
          <w:caps w:val="0"/>
          <w:color w:val="auto"/>
          <w:sz w:val="22"/>
        </w:rPr>
      </w:pPr>
      <w:hyperlink w:anchor="_Toc301783559" w:history="1">
        <w:r w:rsidR="00E9612C" w:rsidRPr="00361029">
          <w:rPr>
            <w:rStyle w:val="Hyperlink"/>
          </w:rPr>
          <w:t>3.</w:t>
        </w:r>
        <w:r w:rsidR="00E9612C">
          <w:rPr>
            <w:rFonts w:asciiTheme="minorHAnsi" w:eastAsiaTheme="minorEastAsia" w:hAnsiTheme="minorHAnsi" w:cstheme="minorBidi"/>
            <w:b w:val="0"/>
            <w:caps w:val="0"/>
            <w:color w:val="auto"/>
            <w:sz w:val="22"/>
          </w:rPr>
          <w:tab/>
        </w:r>
        <w:r w:rsidR="00E9612C" w:rsidRPr="00361029">
          <w:rPr>
            <w:rStyle w:val="Hyperlink"/>
          </w:rPr>
          <w:t xml:space="preserve">NetApp Copyright Notice </w:t>
        </w:r>
        <w:r w:rsidR="001116EF">
          <w:rPr>
            <w:rStyle w:val="Hyperlink"/>
          </w:rPr>
          <w:t>GUIDELINES</w:t>
        </w:r>
        <w:r w:rsidR="00E9612C">
          <w:rPr>
            <w:webHidden/>
          </w:rPr>
          <w:tab/>
        </w:r>
        <w:r>
          <w:rPr>
            <w:webHidden/>
          </w:rPr>
          <w:fldChar w:fldCharType="begin"/>
        </w:r>
        <w:r w:rsidR="00E9612C">
          <w:rPr>
            <w:webHidden/>
          </w:rPr>
          <w:instrText xml:space="preserve"> PAGEREF _Toc301783559 \h </w:instrText>
        </w:r>
        <w:r>
          <w:rPr>
            <w:webHidden/>
          </w:rPr>
        </w:r>
        <w:r>
          <w:rPr>
            <w:webHidden/>
          </w:rPr>
          <w:fldChar w:fldCharType="separate"/>
        </w:r>
        <w:r w:rsidR="00364EE5">
          <w:rPr>
            <w:webHidden/>
          </w:rPr>
          <w:t>4</w:t>
        </w:r>
        <w:r>
          <w:rPr>
            <w:webHidden/>
          </w:rPr>
          <w:fldChar w:fldCharType="end"/>
        </w:r>
      </w:hyperlink>
    </w:p>
    <w:p w:rsidR="00CA2119" w:rsidRPr="00CA2119" w:rsidRDefault="00CA2119" w:rsidP="00CA2119">
      <w:pPr>
        <w:pStyle w:val="TOC1"/>
      </w:pPr>
      <w:r w:rsidRPr="00CA2119">
        <w:t>4.</w:t>
      </w:r>
      <w:r w:rsidRPr="00CA2119">
        <w:rPr>
          <w:rFonts w:eastAsiaTheme="minorEastAsia"/>
        </w:rPr>
        <w:tab/>
      </w:r>
      <w:r w:rsidRPr="00CA2119">
        <w:t>COPYRIGHT Notice FORMAT</w:t>
      </w:r>
      <w:r w:rsidRPr="00CA2119">
        <w:rPr>
          <w:webHidden/>
        </w:rPr>
        <w:tab/>
      </w:r>
      <w:r>
        <w:rPr>
          <w:webHidden/>
        </w:rPr>
        <w:t>4</w:t>
      </w:r>
    </w:p>
    <w:p w:rsidR="00E9612C" w:rsidRDefault="00D61309">
      <w:pPr>
        <w:pStyle w:val="TOC1"/>
        <w:rPr>
          <w:rFonts w:asciiTheme="minorHAnsi" w:eastAsiaTheme="minorEastAsia" w:hAnsiTheme="minorHAnsi" w:cstheme="minorBidi"/>
          <w:b w:val="0"/>
          <w:caps w:val="0"/>
          <w:color w:val="auto"/>
          <w:sz w:val="22"/>
        </w:rPr>
      </w:pPr>
      <w:hyperlink w:anchor="_Toc301783561" w:history="1">
        <w:r w:rsidR="00F06001" w:rsidRPr="00361029">
          <w:rPr>
            <w:rStyle w:val="Hyperlink"/>
          </w:rPr>
          <w:t>5.</w:t>
        </w:r>
        <w:r w:rsidR="00F06001">
          <w:rPr>
            <w:rFonts w:asciiTheme="minorHAnsi" w:eastAsiaTheme="minorEastAsia" w:hAnsiTheme="minorHAnsi" w:cstheme="minorBidi"/>
            <w:b w:val="0"/>
            <w:caps w:val="0"/>
            <w:color w:val="auto"/>
            <w:sz w:val="22"/>
          </w:rPr>
          <w:tab/>
        </w:r>
        <w:r w:rsidR="00F06001" w:rsidRPr="00361029">
          <w:rPr>
            <w:rStyle w:val="Hyperlink"/>
          </w:rPr>
          <w:t>Confidentiality Notice</w:t>
        </w:r>
        <w:r w:rsidR="00F06001">
          <w:rPr>
            <w:webHidden/>
          </w:rPr>
          <w:tab/>
          <w:t>5</w:t>
        </w:r>
      </w:hyperlink>
    </w:p>
    <w:p w:rsidR="00E9612C" w:rsidRDefault="00D61309">
      <w:pPr>
        <w:pStyle w:val="TOC1"/>
        <w:rPr>
          <w:rFonts w:asciiTheme="minorHAnsi" w:eastAsiaTheme="minorEastAsia" w:hAnsiTheme="minorHAnsi" w:cstheme="minorBidi"/>
          <w:b w:val="0"/>
          <w:caps w:val="0"/>
          <w:color w:val="auto"/>
          <w:sz w:val="22"/>
        </w:rPr>
      </w:pPr>
      <w:hyperlink w:anchor="_Toc301783562" w:history="1">
        <w:r w:rsidR="00E9612C" w:rsidRPr="00361029">
          <w:rPr>
            <w:rStyle w:val="Hyperlink"/>
          </w:rPr>
          <w:t>6.</w:t>
        </w:r>
        <w:r w:rsidR="00E9612C">
          <w:rPr>
            <w:rFonts w:asciiTheme="minorHAnsi" w:eastAsiaTheme="minorEastAsia" w:hAnsiTheme="minorHAnsi" w:cstheme="minorBidi"/>
            <w:b w:val="0"/>
            <w:caps w:val="0"/>
            <w:color w:val="auto"/>
            <w:sz w:val="22"/>
          </w:rPr>
          <w:tab/>
        </w:r>
        <w:r w:rsidR="00E9612C" w:rsidRPr="00361029">
          <w:rPr>
            <w:rStyle w:val="Hyperlink"/>
          </w:rPr>
          <w:t>Trademarks</w:t>
        </w:r>
        <w:r w:rsidR="00E9612C">
          <w:rPr>
            <w:webHidden/>
          </w:rPr>
          <w:tab/>
        </w:r>
        <w:r>
          <w:rPr>
            <w:webHidden/>
          </w:rPr>
          <w:fldChar w:fldCharType="begin"/>
        </w:r>
        <w:r w:rsidR="00E9612C">
          <w:rPr>
            <w:webHidden/>
          </w:rPr>
          <w:instrText xml:space="preserve"> PAGEREF _Toc301783562 \h </w:instrText>
        </w:r>
        <w:r>
          <w:rPr>
            <w:webHidden/>
          </w:rPr>
        </w:r>
        <w:r>
          <w:rPr>
            <w:webHidden/>
          </w:rPr>
          <w:fldChar w:fldCharType="separate"/>
        </w:r>
        <w:r w:rsidR="00364EE5">
          <w:rPr>
            <w:webHidden/>
          </w:rPr>
          <w:t>6</w:t>
        </w:r>
        <w:r>
          <w:rPr>
            <w:webHidden/>
          </w:rPr>
          <w:fldChar w:fldCharType="end"/>
        </w:r>
      </w:hyperlink>
    </w:p>
    <w:p w:rsidR="00E9612C" w:rsidRDefault="00D61309">
      <w:pPr>
        <w:pStyle w:val="TOC2"/>
        <w:rPr>
          <w:rFonts w:asciiTheme="minorHAnsi" w:eastAsiaTheme="minorEastAsia" w:hAnsiTheme="minorHAnsi" w:cstheme="minorBidi"/>
          <w:b w:val="0"/>
          <w:caps w:val="0"/>
          <w:sz w:val="22"/>
        </w:rPr>
      </w:pPr>
      <w:hyperlink w:anchor="_Toc301783563" w:history="1">
        <w:r w:rsidR="00E9612C" w:rsidRPr="00361029">
          <w:rPr>
            <w:rStyle w:val="Hyperlink"/>
          </w:rPr>
          <w:t>Trademark Overview</w:t>
        </w:r>
        <w:r w:rsidR="00E9612C">
          <w:rPr>
            <w:webHidden/>
          </w:rPr>
          <w:tab/>
        </w:r>
        <w:r>
          <w:rPr>
            <w:webHidden/>
          </w:rPr>
          <w:fldChar w:fldCharType="begin"/>
        </w:r>
        <w:r w:rsidR="00E9612C">
          <w:rPr>
            <w:webHidden/>
          </w:rPr>
          <w:instrText xml:space="preserve"> PAGEREF _Toc301783563 \h </w:instrText>
        </w:r>
        <w:r>
          <w:rPr>
            <w:webHidden/>
          </w:rPr>
        </w:r>
        <w:r>
          <w:rPr>
            <w:webHidden/>
          </w:rPr>
          <w:fldChar w:fldCharType="separate"/>
        </w:r>
        <w:r w:rsidR="00364EE5">
          <w:rPr>
            <w:webHidden/>
          </w:rPr>
          <w:t>6</w:t>
        </w:r>
        <w:r>
          <w:rPr>
            <w:webHidden/>
          </w:rPr>
          <w:fldChar w:fldCharType="end"/>
        </w:r>
      </w:hyperlink>
    </w:p>
    <w:p w:rsidR="00E9612C" w:rsidRDefault="00D61309">
      <w:pPr>
        <w:pStyle w:val="TOC2"/>
        <w:rPr>
          <w:rFonts w:asciiTheme="minorHAnsi" w:eastAsiaTheme="minorEastAsia" w:hAnsiTheme="minorHAnsi" w:cstheme="minorBidi"/>
          <w:b w:val="0"/>
          <w:caps w:val="0"/>
          <w:sz w:val="22"/>
        </w:rPr>
      </w:pPr>
      <w:hyperlink w:anchor="_Toc301783564" w:history="1">
        <w:r w:rsidR="00E9612C" w:rsidRPr="00361029">
          <w:rPr>
            <w:rStyle w:val="Hyperlink"/>
          </w:rPr>
          <w:t>PROPER USAGE of trademarks</w:t>
        </w:r>
        <w:r w:rsidR="00E9612C">
          <w:rPr>
            <w:webHidden/>
          </w:rPr>
          <w:tab/>
        </w:r>
        <w:r>
          <w:rPr>
            <w:webHidden/>
          </w:rPr>
          <w:fldChar w:fldCharType="begin"/>
        </w:r>
        <w:r w:rsidR="00E9612C">
          <w:rPr>
            <w:webHidden/>
          </w:rPr>
          <w:instrText xml:space="preserve"> PAGEREF _Toc301783564 \h </w:instrText>
        </w:r>
        <w:r>
          <w:rPr>
            <w:webHidden/>
          </w:rPr>
        </w:r>
        <w:r>
          <w:rPr>
            <w:webHidden/>
          </w:rPr>
          <w:fldChar w:fldCharType="separate"/>
        </w:r>
        <w:r w:rsidR="00364EE5">
          <w:rPr>
            <w:webHidden/>
          </w:rPr>
          <w:t>6</w:t>
        </w:r>
        <w:r>
          <w:rPr>
            <w:webHidden/>
          </w:rPr>
          <w:fldChar w:fldCharType="end"/>
        </w:r>
      </w:hyperlink>
    </w:p>
    <w:p w:rsidR="00E9612C" w:rsidRDefault="00D61309">
      <w:pPr>
        <w:pStyle w:val="TOC2"/>
        <w:rPr>
          <w:rFonts w:asciiTheme="minorHAnsi" w:eastAsiaTheme="minorEastAsia" w:hAnsiTheme="minorHAnsi" w:cstheme="minorBidi"/>
          <w:b w:val="0"/>
          <w:caps w:val="0"/>
          <w:sz w:val="22"/>
        </w:rPr>
      </w:pPr>
      <w:hyperlink w:anchor="_Toc301783565" w:history="1">
        <w:r w:rsidR="00E9612C" w:rsidRPr="00361029">
          <w:rPr>
            <w:rStyle w:val="Hyperlink"/>
          </w:rPr>
          <w:t>Trademark symbols</w:t>
        </w:r>
        <w:r w:rsidR="00E9612C">
          <w:rPr>
            <w:webHidden/>
          </w:rPr>
          <w:tab/>
        </w:r>
        <w:r>
          <w:rPr>
            <w:webHidden/>
          </w:rPr>
          <w:fldChar w:fldCharType="begin"/>
        </w:r>
        <w:r w:rsidR="00E9612C">
          <w:rPr>
            <w:webHidden/>
          </w:rPr>
          <w:instrText xml:space="preserve"> PAGEREF _Toc301783565 \h </w:instrText>
        </w:r>
        <w:r>
          <w:rPr>
            <w:webHidden/>
          </w:rPr>
        </w:r>
        <w:r>
          <w:rPr>
            <w:webHidden/>
          </w:rPr>
          <w:fldChar w:fldCharType="separate"/>
        </w:r>
        <w:r w:rsidR="00364EE5">
          <w:rPr>
            <w:webHidden/>
          </w:rPr>
          <w:t>7</w:t>
        </w:r>
        <w:r>
          <w:rPr>
            <w:webHidden/>
          </w:rPr>
          <w:fldChar w:fldCharType="end"/>
        </w:r>
      </w:hyperlink>
    </w:p>
    <w:p w:rsidR="00E9612C" w:rsidRDefault="00D61309">
      <w:pPr>
        <w:pStyle w:val="TOC2"/>
        <w:rPr>
          <w:rFonts w:asciiTheme="minorHAnsi" w:eastAsiaTheme="minorEastAsia" w:hAnsiTheme="minorHAnsi" w:cstheme="minorBidi"/>
          <w:b w:val="0"/>
          <w:caps w:val="0"/>
          <w:sz w:val="22"/>
        </w:rPr>
      </w:pPr>
      <w:hyperlink w:anchor="_Toc301783566" w:history="1">
        <w:r w:rsidR="00E9612C" w:rsidRPr="00361029">
          <w:rPr>
            <w:rStyle w:val="Hyperlink"/>
          </w:rPr>
          <w:t>Trademark Notice</w:t>
        </w:r>
        <w:r w:rsidR="00E9612C">
          <w:rPr>
            <w:webHidden/>
          </w:rPr>
          <w:tab/>
        </w:r>
        <w:r>
          <w:rPr>
            <w:webHidden/>
          </w:rPr>
          <w:fldChar w:fldCharType="begin"/>
        </w:r>
        <w:r w:rsidR="00E9612C">
          <w:rPr>
            <w:webHidden/>
          </w:rPr>
          <w:instrText xml:space="preserve"> PAGEREF _Toc301783566 \h </w:instrText>
        </w:r>
        <w:r>
          <w:rPr>
            <w:webHidden/>
          </w:rPr>
        </w:r>
        <w:r>
          <w:rPr>
            <w:webHidden/>
          </w:rPr>
          <w:fldChar w:fldCharType="separate"/>
        </w:r>
        <w:r w:rsidR="00364EE5">
          <w:rPr>
            <w:webHidden/>
          </w:rPr>
          <w:t>7</w:t>
        </w:r>
        <w:r>
          <w:rPr>
            <w:webHidden/>
          </w:rPr>
          <w:fldChar w:fldCharType="end"/>
        </w:r>
      </w:hyperlink>
    </w:p>
    <w:p w:rsidR="00E9612C" w:rsidRDefault="00D61309">
      <w:pPr>
        <w:pStyle w:val="TOC1"/>
      </w:pPr>
      <w:hyperlink w:anchor="_Toc301783567" w:history="1">
        <w:r w:rsidR="00E9612C" w:rsidRPr="00361029">
          <w:rPr>
            <w:rStyle w:val="Hyperlink"/>
          </w:rPr>
          <w:t>7.</w:t>
        </w:r>
        <w:r w:rsidR="00E9612C">
          <w:rPr>
            <w:rFonts w:asciiTheme="minorHAnsi" w:eastAsiaTheme="minorEastAsia" w:hAnsiTheme="minorHAnsi" w:cstheme="minorBidi"/>
            <w:b w:val="0"/>
            <w:caps w:val="0"/>
            <w:color w:val="auto"/>
            <w:sz w:val="22"/>
          </w:rPr>
          <w:tab/>
        </w:r>
        <w:r w:rsidR="00E9612C" w:rsidRPr="00361029">
          <w:rPr>
            <w:rStyle w:val="Hyperlink"/>
          </w:rPr>
          <w:t>Open Source</w:t>
        </w:r>
        <w:r w:rsidR="00E9612C">
          <w:rPr>
            <w:webHidden/>
          </w:rPr>
          <w:tab/>
        </w:r>
        <w:r>
          <w:rPr>
            <w:webHidden/>
          </w:rPr>
          <w:fldChar w:fldCharType="begin"/>
        </w:r>
        <w:r w:rsidR="00E9612C">
          <w:rPr>
            <w:webHidden/>
          </w:rPr>
          <w:instrText xml:space="preserve"> PAGEREF _Toc301783567 \h </w:instrText>
        </w:r>
        <w:r>
          <w:rPr>
            <w:webHidden/>
          </w:rPr>
        </w:r>
        <w:r>
          <w:rPr>
            <w:webHidden/>
          </w:rPr>
          <w:fldChar w:fldCharType="separate"/>
        </w:r>
        <w:r w:rsidR="00364EE5">
          <w:rPr>
            <w:webHidden/>
          </w:rPr>
          <w:t>7</w:t>
        </w:r>
        <w:r>
          <w:rPr>
            <w:webHidden/>
          </w:rPr>
          <w:fldChar w:fldCharType="end"/>
        </w:r>
      </w:hyperlink>
    </w:p>
    <w:p w:rsidR="001C0F50" w:rsidRPr="001C0F50" w:rsidRDefault="00AB4434" w:rsidP="001C0F50">
      <w:pPr>
        <w:pStyle w:val="TOC2"/>
        <w:ind w:left="0" w:firstLine="0"/>
        <w:rPr>
          <w:rFonts w:asciiTheme="minorHAnsi" w:eastAsiaTheme="minorEastAsia" w:hAnsiTheme="minorHAnsi" w:cstheme="minorBidi"/>
          <w:b w:val="0"/>
          <w:caps w:val="0"/>
          <w:sz w:val="22"/>
        </w:rPr>
      </w:pPr>
      <w:r>
        <w:t xml:space="preserve">           </w:t>
      </w:r>
      <w:r w:rsidR="00D154B2">
        <w:t>OPEN SOURCE OVERVIEW</w:t>
      </w:r>
      <w:hyperlink w:anchor="_Toc301783566" w:history="1">
        <w:r w:rsidR="00D154B2">
          <w:rPr>
            <w:webHidden/>
          </w:rPr>
          <w:tab/>
          <w:t>7</w:t>
        </w:r>
      </w:hyperlink>
    </w:p>
    <w:p w:rsidR="001C0F50" w:rsidRPr="001C0F50" w:rsidRDefault="00D154B2" w:rsidP="001C0F50">
      <w:pPr>
        <w:pStyle w:val="TOC2"/>
        <w:ind w:left="0" w:firstLine="0"/>
        <w:rPr>
          <w:rFonts w:asciiTheme="minorHAnsi" w:eastAsiaTheme="minorEastAsia" w:hAnsiTheme="minorHAnsi" w:cstheme="minorBidi"/>
          <w:b w:val="0"/>
          <w:caps w:val="0"/>
          <w:sz w:val="22"/>
        </w:rPr>
      </w:pPr>
      <w:r>
        <w:t xml:space="preserve">           </w:t>
      </w:r>
      <w:r>
        <w:rPr>
          <w:szCs w:val="16"/>
        </w:rPr>
        <w:t xml:space="preserve">PRE-APPROVAL </w:t>
      </w:r>
      <w:r w:rsidR="00AB4434" w:rsidRPr="00AB4434">
        <w:rPr>
          <w:szCs w:val="16"/>
        </w:rPr>
        <w:t>PROCESS</w:t>
      </w:r>
      <w:hyperlink w:anchor="_Toc301783566" w:history="1">
        <w:r w:rsidR="00AB4434">
          <w:rPr>
            <w:webHidden/>
          </w:rPr>
          <w:tab/>
          <w:t>7</w:t>
        </w:r>
      </w:hyperlink>
    </w:p>
    <w:p w:rsidR="001C0F50" w:rsidRPr="001C0F50" w:rsidRDefault="00AB4434" w:rsidP="001C0F50">
      <w:pPr>
        <w:pStyle w:val="TOC2"/>
        <w:ind w:left="0" w:firstLine="0"/>
        <w:rPr>
          <w:rFonts w:asciiTheme="minorHAnsi" w:eastAsiaTheme="minorEastAsia" w:hAnsiTheme="minorHAnsi" w:cstheme="minorBidi"/>
          <w:b w:val="0"/>
          <w:caps w:val="0"/>
          <w:sz w:val="22"/>
        </w:rPr>
      </w:pPr>
      <w:r>
        <w:rPr>
          <w:szCs w:val="16"/>
        </w:rPr>
        <w:t xml:space="preserve">          </w:t>
      </w:r>
      <w:r w:rsidR="001116EF">
        <w:rPr>
          <w:szCs w:val="16"/>
        </w:rPr>
        <w:t xml:space="preserve"> </w:t>
      </w:r>
      <w:r w:rsidR="00D154B2">
        <w:rPr>
          <w:szCs w:val="16"/>
        </w:rPr>
        <w:t>PRE-RELEASE PROCESS</w:t>
      </w:r>
      <w:hyperlink w:anchor="_Toc301783566" w:history="1">
        <w:r>
          <w:rPr>
            <w:webHidden/>
          </w:rPr>
          <w:tab/>
        </w:r>
      </w:hyperlink>
      <w:r w:rsidR="001116EF">
        <w:t>8</w:t>
      </w:r>
    </w:p>
    <w:p w:rsidR="001116EF" w:rsidRDefault="001116EF" w:rsidP="001116EF">
      <w:pPr>
        <w:pStyle w:val="TOC1"/>
        <w:rPr>
          <w:rFonts w:asciiTheme="minorHAnsi" w:eastAsiaTheme="minorEastAsia" w:hAnsiTheme="minorHAnsi" w:cstheme="minorBidi"/>
          <w:b w:val="0"/>
          <w:caps w:val="0"/>
          <w:color w:val="auto"/>
          <w:sz w:val="22"/>
        </w:rPr>
      </w:pPr>
      <w:r w:rsidRPr="003D00B7">
        <w:rPr>
          <w:color w:val="0070C0"/>
        </w:rPr>
        <w:t>8.   U.S. GOVERNMENT AND U.S. EXPORT CONTROL NOTICES</w:t>
      </w:r>
      <w:r>
        <w:t xml:space="preserve"> </w:t>
      </w:r>
      <w:hyperlink w:anchor="_Toc301783572" w:history="1">
        <w:r>
          <w:rPr>
            <w:webHidden/>
          </w:rPr>
          <w:tab/>
          <w:t>8</w:t>
        </w:r>
      </w:hyperlink>
    </w:p>
    <w:p w:rsidR="00AC7CF5" w:rsidRDefault="00D61309" w:rsidP="00AC7CF5">
      <w:pPr>
        <w:pStyle w:val="TOC2"/>
        <w:rPr>
          <w:rFonts w:asciiTheme="minorHAnsi" w:eastAsiaTheme="minorEastAsia" w:hAnsiTheme="minorHAnsi" w:cstheme="minorBidi"/>
          <w:b w:val="0"/>
          <w:caps w:val="0"/>
          <w:sz w:val="22"/>
        </w:rPr>
      </w:pPr>
      <w:hyperlink w:anchor="_Toc301783570" w:history="1">
        <w:r w:rsidR="00AC7CF5" w:rsidRPr="00361029">
          <w:rPr>
            <w:rStyle w:val="Hyperlink"/>
          </w:rPr>
          <w:t>United States Government Rights Notice</w:t>
        </w:r>
        <w:r w:rsidR="00AC7CF5">
          <w:rPr>
            <w:webHidden/>
          </w:rPr>
          <w:tab/>
        </w:r>
        <w:r w:rsidR="001116EF">
          <w:rPr>
            <w:webHidden/>
          </w:rPr>
          <w:t>8</w:t>
        </w:r>
      </w:hyperlink>
    </w:p>
    <w:p w:rsidR="001C0F50" w:rsidRPr="001C0F50" w:rsidRDefault="00D61309" w:rsidP="001C0F50">
      <w:pPr>
        <w:pStyle w:val="TOC2"/>
        <w:rPr>
          <w:rFonts w:asciiTheme="minorHAnsi" w:eastAsiaTheme="minorEastAsia" w:hAnsiTheme="minorHAnsi" w:cstheme="minorBidi"/>
          <w:sz w:val="22"/>
        </w:rPr>
      </w:pPr>
      <w:hyperlink w:anchor="_Toc301783571" w:history="1">
        <w:r w:rsidR="00AC7CF5" w:rsidRPr="00361029">
          <w:rPr>
            <w:rStyle w:val="Hyperlink"/>
          </w:rPr>
          <w:t>U.S. Export Control/ITS Issues</w:t>
        </w:r>
        <w:r w:rsidR="00AC7CF5">
          <w:rPr>
            <w:webHidden/>
          </w:rPr>
          <w:tab/>
        </w:r>
        <w:r w:rsidR="00E80558">
          <w:rPr>
            <w:webHidden/>
          </w:rPr>
          <w:t>9</w:t>
        </w:r>
      </w:hyperlink>
    </w:p>
    <w:p w:rsidR="00E9612C" w:rsidRDefault="00D61309">
      <w:pPr>
        <w:pStyle w:val="TOC1"/>
        <w:rPr>
          <w:rFonts w:asciiTheme="minorHAnsi" w:eastAsiaTheme="minorEastAsia" w:hAnsiTheme="minorHAnsi" w:cstheme="minorBidi"/>
          <w:b w:val="0"/>
          <w:caps w:val="0"/>
          <w:color w:val="auto"/>
          <w:sz w:val="22"/>
        </w:rPr>
      </w:pPr>
      <w:hyperlink w:anchor="_Toc301783568" w:history="1">
        <w:r w:rsidR="001116EF" w:rsidRPr="00361029">
          <w:rPr>
            <w:rStyle w:val="Hyperlink"/>
          </w:rPr>
          <w:t>APPENDIX A – Placement of Notices</w:t>
        </w:r>
        <w:r w:rsidR="001116EF">
          <w:rPr>
            <w:webHidden/>
          </w:rPr>
          <w:tab/>
          <w:t>10</w:t>
        </w:r>
      </w:hyperlink>
    </w:p>
    <w:p w:rsidR="00E9612C" w:rsidRDefault="00D61309">
      <w:pPr>
        <w:pStyle w:val="TOC1"/>
        <w:rPr>
          <w:rFonts w:asciiTheme="minorHAnsi" w:eastAsiaTheme="minorEastAsia" w:hAnsiTheme="minorHAnsi" w:cstheme="minorBidi"/>
          <w:b w:val="0"/>
          <w:caps w:val="0"/>
          <w:color w:val="auto"/>
          <w:sz w:val="22"/>
        </w:rPr>
      </w:pPr>
      <w:hyperlink w:anchor="_Toc301783572" w:history="1">
        <w:r w:rsidR="00E9612C" w:rsidRPr="00361029">
          <w:rPr>
            <w:rStyle w:val="Hyperlink"/>
          </w:rPr>
          <w:t xml:space="preserve">APPENDIX </w:t>
        </w:r>
        <w:r w:rsidR="00AC7CF5">
          <w:rPr>
            <w:rStyle w:val="Hyperlink"/>
          </w:rPr>
          <w:t>b</w:t>
        </w:r>
        <w:r w:rsidR="00AC7CF5" w:rsidRPr="00361029">
          <w:rPr>
            <w:rStyle w:val="Hyperlink"/>
          </w:rPr>
          <w:t xml:space="preserve"> </w:t>
        </w:r>
        <w:r w:rsidR="00E9612C" w:rsidRPr="00361029">
          <w:rPr>
            <w:rStyle w:val="Hyperlink"/>
          </w:rPr>
          <w:t>- Frequently Asked Questions (FAQs)</w:t>
        </w:r>
        <w:r w:rsidR="00364EE5" w:rsidRPr="00364EE5">
          <w:rPr>
            <w:webHidden/>
          </w:rPr>
          <w:t xml:space="preserve"> </w:t>
        </w:r>
        <w:r w:rsidR="00364EE5" w:rsidRPr="00364EE5">
          <w:rPr>
            <w:rStyle w:val="Hyperlink"/>
            <w:webHidden/>
          </w:rPr>
          <w:tab/>
        </w:r>
        <w:r w:rsidR="00364EE5">
          <w:rPr>
            <w:rStyle w:val="Hyperlink"/>
            <w:webHidden/>
          </w:rPr>
          <w:t>12</w:t>
        </w:r>
        <w:r w:rsidR="00364EE5" w:rsidDel="00364EE5">
          <w:rPr>
            <w:webHidden/>
          </w:rPr>
          <w:t xml:space="preserve"> </w:t>
        </w:r>
      </w:hyperlink>
    </w:p>
    <w:p w:rsidR="00FD7F8A" w:rsidRDefault="00D61309" w:rsidP="00FD7F8A">
      <w:pPr>
        <w:pStyle w:val="TOC1"/>
        <w:rPr>
          <w:b w:val="0"/>
          <w:caps w:val="0"/>
        </w:rPr>
      </w:pPr>
      <w:r>
        <w:rPr>
          <w:b w:val="0"/>
          <w:caps w:val="0"/>
        </w:rPr>
        <w:fldChar w:fldCharType="end"/>
      </w:r>
    </w:p>
    <w:p w:rsidR="00EC40A1" w:rsidRDefault="00EC40A1" w:rsidP="00FD7F8A">
      <w:pPr>
        <w:pStyle w:val="TOCHeading"/>
      </w:pPr>
    </w:p>
    <w:p w:rsidR="00EC40A1" w:rsidRDefault="00EC40A1" w:rsidP="00EC40A1">
      <w:pPr>
        <w:pStyle w:val="BodyText"/>
      </w:pPr>
      <w:r w:rsidRPr="002C20E3">
        <w:br w:type="page"/>
      </w:r>
      <w:bookmarkEnd w:id="7"/>
    </w:p>
    <w:p w:rsidR="00041C54" w:rsidRPr="00D37245" w:rsidRDefault="00041C54" w:rsidP="00B31B21">
      <w:pPr>
        <w:pStyle w:val="Heading1"/>
        <w:numPr>
          <w:ilvl w:val="0"/>
          <w:numId w:val="10"/>
        </w:numPr>
      </w:pPr>
      <w:bookmarkStart w:id="8" w:name="_Toc301531194"/>
      <w:bookmarkStart w:id="9" w:name="_Toc301783557"/>
      <w:r w:rsidRPr="00D37245">
        <w:lastRenderedPageBreak/>
        <w:t>Introduction to Copyright</w:t>
      </w:r>
      <w:r w:rsidR="00DD6F93">
        <w:t xml:space="preserve"> notices</w:t>
      </w:r>
      <w:bookmarkEnd w:id="8"/>
      <w:bookmarkEnd w:id="9"/>
    </w:p>
    <w:p w:rsidR="00041C54" w:rsidRDefault="00041C54" w:rsidP="00041C54">
      <w:pPr>
        <w:pStyle w:val="BodyText"/>
        <w:rPr>
          <w:color w:val="000000"/>
          <w:sz w:val="22"/>
        </w:rPr>
      </w:pPr>
      <w:r>
        <w:rPr>
          <w:color w:val="000000"/>
          <w:sz w:val="22"/>
        </w:rPr>
        <w:t>A c</w:t>
      </w:r>
      <w:r w:rsidRPr="006830E5">
        <w:rPr>
          <w:color w:val="000000"/>
          <w:sz w:val="22"/>
        </w:rPr>
        <w:t xml:space="preserve">opyright is an intellectual property </w:t>
      </w:r>
      <w:r>
        <w:rPr>
          <w:color w:val="000000"/>
          <w:sz w:val="22"/>
        </w:rPr>
        <w:t xml:space="preserve">(IP) </w:t>
      </w:r>
      <w:r w:rsidRPr="006830E5">
        <w:rPr>
          <w:color w:val="000000"/>
          <w:sz w:val="22"/>
        </w:rPr>
        <w:t xml:space="preserve">right that </w:t>
      </w:r>
      <w:r>
        <w:rPr>
          <w:color w:val="000000"/>
          <w:sz w:val="22"/>
        </w:rPr>
        <w:t>extends to</w:t>
      </w:r>
      <w:r w:rsidRPr="006830E5">
        <w:rPr>
          <w:color w:val="000000"/>
          <w:sz w:val="22"/>
        </w:rPr>
        <w:t xml:space="preserve"> original works of authorship, including literary, dramatic, musical, and artistic and certain other intellectual works. Generally, </w:t>
      </w:r>
      <w:r>
        <w:rPr>
          <w:color w:val="000000"/>
          <w:sz w:val="22"/>
        </w:rPr>
        <w:t>a c</w:t>
      </w:r>
      <w:r w:rsidRPr="006830E5">
        <w:rPr>
          <w:color w:val="000000"/>
          <w:sz w:val="22"/>
        </w:rPr>
        <w:t>opyright does not extend to ideas, procedures, processes, and systems, methods of operation, concepts, principles or discoveries</w:t>
      </w:r>
      <w:r>
        <w:rPr>
          <w:color w:val="000000"/>
          <w:sz w:val="22"/>
        </w:rPr>
        <w:t xml:space="preserve">, </w:t>
      </w:r>
      <w:r w:rsidRPr="006830E5">
        <w:rPr>
          <w:color w:val="000000"/>
          <w:sz w:val="22"/>
        </w:rPr>
        <w:t xml:space="preserve">but rather </w:t>
      </w:r>
      <w:r>
        <w:rPr>
          <w:color w:val="000000"/>
          <w:sz w:val="22"/>
        </w:rPr>
        <w:t>extends to</w:t>
      </w:r>
      <w:r w:rsidRPr="006830E5">
        <w:rPr>
          <w:color w:val="000000"/>
          <w:sz w:val="22"/>
        </w:rPr>
        <w:t xml:space="preserve"> the </w:t>
      </w:r>
      <w:r w:rsidRPr="003F4C89">
        <w:rPr>
          <w:i/>
          <w:color w:val="000000"/>
          <w:sz w:val="22"/>
        </w:rPr>
        <w:t>tangible form</w:t>
      </w:r>
      <w:r w:rsidRPr="006830E5">
        <w:rPr>
          <w:color w:val="000000"/>
          <w:sz w:val="22"/>
        </w:rPr>
        <w:t xml:space="preserve"> in which </w:t>
      </w:r>
      <w:r>
        <w:rPr>
          <w:color w:val="000000"/>
          <w:sz w:val="22"/>
        </w:rPr>
        <w:t xml:space="preserve">such </w:t>
      </w:r>
      <w:r w:rsidRPr="006830E5">
        <w:rPr>
          <w:color w:val="000000"/>
          <w:sz w:val="22"/>
        </w:rPr>
        <w:t xml:space="preserve">ideas are expressed. </w:t>
      </w:r>
      <w:r>
        <w:rPr>
          <w:color w:val="000000"/>
          <w:sz w:val="22"/>
        </w:rPr>
        <w:t>I</w:t>
      </w:r>
      <w:r w:rsidRPr="006830E5">
        <w:rPr>
          <w:color w:val="000000"/>
          <w:sz w:val="22"/>
        </w:rPr>
        <w:t xml:space="preserve">deas themselves </w:t>
      </w:r>
      <w:r>
        <w:rPr>
          <w:color w:val="000000"/>
          <w:sz w:val="22"/>
        </w:rPr>
        <w:t>may</w:t>
      </w:r>
      <w:r w:rsidRPr="006830E5">
        <w:rPr>
          <w:color w:val="000000"/>
          <w:sz w:val="22"/>
        </w:rPr>
        <w:t xml:space="preserve"> be protected</w:t>
      </w:r>
      <w:r>
        <w:rPr>
          <w:color w:val="000000"/>
          <w:sz w:val="22"/>
        </w:rPr>
        <w:t>, however,</w:t>
      </w:r>
      <w:r w:rsidRPr="006830E5">
        <w:rPr>
          <w:color w:val="000000"/>
          <w:sz w:val="22"/>
        </w:rPr>
        <w:t xml:space="preserve"> </w:t>
      </w:r>
      <w:r>
        <w:rPr>
          <w:color w:val="000000"/>
          <w:sz w:val="22"/>
        </w:rPr>
        <w:t>as</w:t>
      </w:r>
      <w:r w:rsidRPr="006830E5">
        <w:rPr>
          <w:color w:val="000000"/>
          <w:sz w:val="22"/>
        </w:rPr>
        <w:t xml:space="preserve"> confidential </w:t>
      </w:r>
      <w:r>
        <w:rPr>
          <w:color w:val="000000"/>
          <w:sz w:val="22"/>
        </w:rPr>
        <w:t xml:space="preserve">information under certain circumstances.  </w:t>
      </w:r>
    </w:p>
    <w:p w:rsidR="00041C54" w:rsidRPr="000E5E26" w:rsidRDefault="00041C54" w:rsidP="00041C54">
      <w:pPr>
        <w:pStyle w:val="BodyText"/>
        <w:rPr>
          <w:color w:val="000000"/>
          <w:sz w:val="22"/>
        </w:rPr>
      </w:pPr>
      <w:r>
        <w:rPr>
          <w:color w:val="000000"/>
          <w:sz w:val="22"/>
        </w:rPr>
        <w:t xml:space="preserve">Under a copyright, a copyright </w:t>
      </w:r>
      <w:r w:rsidRPr="006830E5">
        <w:rPr>
          <w:color w:val="000000"/>
          <w:sz w:val="22"/>
        </w:rPr>
        <w:t xml:space="preserve">owner </w:t>
      </w:r>
      <w:r>
        <w:rPr>
          <w:color w:val="000000"/>
          <w:sz w:val="22"/>
        </w:rPr>
        <w:t>retains</w:t>
      </w:r>
      <w:r w:rsidRPr="006830E5">
        <w:rPr>
          <w:color w:val="000000"/>
          <w:sz w:val="22"/>
        </w:rPr>
        <w:t xml:space="preserve"> certain exclusive rights, including the right</w:t>
      </w:r>
      <w:r>
        <w:rPr>
          <w:color w:val="000000"/>
          <w:sz w:val="22"/>
        </w:rPr>
        <w:t>s</w:t>
      </w:r>
      <w:r w:rsidRPr="006830E5">
        <w:rPr>
          <w:color w:val="000000"/>
          <w:sz w:val="22"/>
        </w:rPr>
        <w:t xml:space="preserve"> to:</w:t>
      </w:r>
    </w:p>
    <w:p w:rsidR="00EE03A9" w:rsidRDefault="002132F3">
      <w:pPr>
        <w:pStyle w:val="BodyText"/>
        <w:numPr>
          <w:ilvl w:val="0"/>
          <w:numId w:val="22"/>
        </w:numPr>
        <w:rPr>
          <w:color w:val="000000"/>
          <w:sz w:val="22"/>
        </w:rPr>
      </w:pPr>
      <w:r w:rsidRPr="002132F3">
        <w:rPr>
          <w:color w:val="000000"/>
          <w:sz w:val="22"/>
        </w:rPr>
        <w:t>Reproduce the work (including making electronic copies);</w:t>
      </w:r>
    </w:p>
    <w:p w:rsidR="00EE03A9" w:rsidRDefault="002132F3">
      <w:pPr>
        <w:pStyle w:val="BodyText"/>
        <w:numPr>
          <w:ilvl w:val="0"/>
          <w:numId w:val="22"/>
        </w:numPr>
        <w:rPr>
          <w:color w:val="000000"/>
          <w:sz w:val="22"/>
        </w:rPr>
      </w:pPr>
      <w:r w:rsidRPr="002132F3">
        <w:rPr>
          <w:color w:val="000000"/>
          <w:sz w:val="22"/>
        </w:rPr>
        <w:t>Create adaptations (derivative works) based on the work; and</w:t>
      </w:r>
    </w:p>
    <w:p w:rsidR="00EE03A9" w:rsidRDefault="002132F3">
      <w:pPr>
        <w:pStyle w:val="BodyText"/>
        <w:numPr>
          <w:ilvl w:val="0"/>
          <w:numId w:val="22"/>
        </w:numPr>
        <w:rPr>
          <w:color w:val="000000"/>
          <w:sz w:val="22"/>
        </w:rPr>
      </w:pPr>
      <w:r w:rsidRPr="002132F3">
        <w:rPr>
          <w:color w:val="000000"/>
          <w:sz w:val="22"/>
        </w:rPr>
        <w:t>Distribute copies of the work (by license, sale, or rental).</w:t>
      </w:r>
    </w:p>
    <w:p w:rsidR="00041C54" w:rsidRDefault="002132F3" w:rsidP="00041C54">
      <w:pPr>
        <w:pStyle w:val="BodyText"/>
        <w:rPr>
          <w:color w:val="000000"/>
          <w:sz w:val="22"/>
        </w:rPr>
      </w:pPr>
      <w:r w:rsidRPr="002132F3">
        <w:rPr>
          <w:color w:val="000000"/>
          <w:sz w:val="22"/>
        </w:rPr>
        <w:t>In the United States, a copyright arises when an original work is first fixed in a tangible medium (for example, written on paper, stored in computer memory or recorded on film), and lasts for a set period, most often the life of the author plus 70 years.  In addition, a</w:t>
      </w:r>
      <w:r w:rsidR="00FA2BC6">
        <w:rPr>
          <w:color w:val="000000"/>
          <w:sz w:val="22"/>
        </w:rPr>
        <w:t xml:space="preserve"> copyrighted</w:t>
      </w:r>
      <w:r w:rsidRPr="002132F3">
        <w:rPr>
          <w:color w:val="000000"/>
          <w:sz w:val="22"/>
        </w:rPr>
        <w:t xml:space="preserve"> work need not be registered through a central copyright registry office (U.S. Copyright Office), although registration does confer certain legal advantages. It should be noted, however, that copyrights are territorial (i.e., country-specific), so copyrights laws may vary from country to country.  </w:t>
      </w:r>
      <w:r w:rsidR="003D00B7">
        <w:rPr>
          <w:color w:val="000000"/>
          <w:sz w:val="22"/>
        </w:rPr>
        <w:t xml:space="preserve"> </w:t>
      </w:r>
    </w:p>
    <w:p w:rsidR="003D00B7" w:rsidRPr="003D00B7" w:rsidRDefault="003D00B7" w:rsidP="003D00B7">
      <w:pPr>
        <w:pStyle w:val="BodyText"/>
        <w:rPr>
          <w:color w:val="000000"/>
          <w:sz w:val="22"/>
        </w:rPr>
      </w:pPr>
      <w:r w:rsidRPr="003D00B7">
        <w:rPr>
          <w:color w:val="000000"/>
          <w:sz w:val="22"/>
        </w:rPr>
        <w:t xml:space="preserve">To protect </w:t>
      </w:r>
      <w:r>
        <w:rPr>
          <w:color w:val="000000"/>
          <w:sz w:val="22"/>
        </w:rPr>
        <w:t>NetApp</w:t>
      </w:r>
      <w:r w:rsidRPr="003D00B7">
        <w:rPr>
          <w:color w:val="000000"/>
          <w:sz w:val="22"/>
        </w:rPr>
        <w:t xml:space="preserve">'s intellectual property rights (e.g., copyrights, patents, trademarks, and similar rights), </w:t>
      </w:r>
      <w:r>
        <w:rPr>
          <w:color w:val="000000"/>
          <w:sz w:val="22"/>
        </w:rPr>
        <w:t xml:space="preserve">NetApp must give </w:t>
      </w:r>
      <w:r w:rsidRPr="003D00B7">
        <w:rPr>
          <w:color w:val="000000"/>
          <w:sz w:val="22"/>
        </w:rPr>
        <w:t xml:space="preserve">adequate notice on its products, documentation and marketing materials of those proprietary rights. Additionally, </w:t>
      </w:r>
      <w:r>
        <w:rPr>
          <w:color w:val="000000"/>
          <w:sz w:val="22"/>
        </w:rPr>
        <w:t xml:space="preserve">NetApp is </w:t>
      </w:r>
      <w:r w:rsidRPr="003D00B7">
        <w:rPr>
          <w:color w:val="000000"/>
          <w:sz w:val="22"/>
        </w:rPr>
        <w:t>sometimes required by contract to attribute the intellectual property rights of certain licensors.</w:t>
      </w:r>
    </w:p>
    <w:p w:rsidR="003D00B7" w:rsidRPr="00FA2BC6" w:rsidRDefault="003D00B7" w:rsidP="003D00B7">
      <w:pPr>
        <w:pStyle w:val="BodyText"/>
        <w:rPr>
          <w:color w:val="000000"/>
          <w:sz w:val="22"/>
        </w:rPr>
      </w:pPr>
      <w:r w:rsidRPr="003D00B7">
        <w:rPr>
          <w:color w:val="000000"/>
          <w:sz w:val="22"/>
        </w:rPr>
        <w:t xml:space="preserve">A </w:t>
      </w:r>
      <w:r>
        <w:rPr>
          <w:color w:val="000000"/>
          <w:sz w:val="22"/>
        </w:rPr>
        <w:t xml:space="preserve">copyright notice </w:t>
      </w:r>
      <w:r w:rsidRPr="003D00B7">
        <w:rPr>
          <w:color w:val="000000"/>
          <w:sz w:val="22"/>
        </w:rPr>
        <w:t xml:space="preserve">is a written statement that puts the user on notice that </w:t>
      </w:r>
      <w:r>
        <w:rPr>
          <w:color w:val="000000"/>
          <w:sz w:val="22"/>
        </w:rPr>
        <w:t xml:space="preserve">NetApp (and/or its licensor) owns or </w:t>
      </w:r>
      <w:r w:rsidRPr="003D00B7">
        <w:rPr>
          <w:color w:val="000000"/>
          <w:sz w:val="22"/>
        </w:rPr>
        <w:t>has rights to a technology, document, specification, and that the use of the technology, document, specification or other</w:t>
      </w:r>
      <w:r>
        <w:rPr>
          <w:color w:val="000000"/>
          <w:sz w:val="22"/>
        </w:rPr>
        <w:t xml:space="preserve"> </w:t>
      </w:r>
      <w:r w:rsidRPr="003D00B7">
        <w:rPr>
          <w:color w:val="000000"/>
          <w:sz w:val="22"/>
        </w:rPr>
        <w:t xml:space="preserve">item is subject to these rights and to certain restrictions. Typical examples of </w:t>
      </w:r>
      <w:r>
        <w:rPr>
          <w:color w:val="000000"/>
          <w:sz w:val="22"/>
        </w:rPr>
        <w:t>copyright notices</w:t>
      </w:r>
      <w:r w:rsidRPr="003D00B7">
        <w:rPr>
          <w:color w:val="000000"/>
          <w:sz w:val="22"/>
        </w:rPr>
        <w:t xml:space="preserve"> include t</w:t>
      </w:r>
      <w:r>
        <w:rPr>
          <w:color w:val="000000"/>
          <w:sz w:val="22"/>
        </w:rPr>
        <w:t xml:space="preserve">he legal wording on the face of </w:t>
      </w:r>
      <w:r w:rsidRPr="003D00B7">
        <w:rPr>
          <w:color w:val="000000"/>
          <w:sz w:val="22"/>
        </w:rPr>
        <w:t>software distributed on CD-ROM, DVD, tape, or other physical media; the legend a</w:t>
      </w:r>
      <w:r>
        <w:rPr>
          <w:color w:val="000000"/>
          <w:sz w:val="22"/>
        </w:rPr>
        <w:t xml:space="preserve">t the end of a press release or </w:t>
      </w:r>
      <w:r w:rsidRPr="003D00B7">
        <w:rPr>
          <w:color w:val="000000"/>
          <w:sz w:val="22"/>
        </w:rPr>
        <w:t>advertisement; and the so-called others: (1) copyright notice; (2) trade secret notice; (</w:t>
      </w:r>
      <w:r>
        <w:rPr>
          <w:color w:val="000000"/>
          <w:sz w:val="22"/>
        </w:rPr>
        <w:t xml:space="preserve">3) trademark </w:t>
      </w:r>
      <w:r w:rsidRPr="003D00B7">
        <w:rPr>
          <w:color w:val="000000"/>
          <w:sz w:val="22"/>
        </w:rPr>
        <w:t>attributions; (5) third party trade mark attributions; (6) U.S. Government rights notice; (7) licen</w:t>
      </w:r>
      <w:r>
        <w:rPr>
          <w:color w:val="000000"/>
          <w:sz w:val="22"/>
        </w:rPr>
        <w:t xml:space="preserve">se restrictions; and (8) export </w:t>
      </w:r>
      <w:r w:rsidRPr="003D00B7">
        <w:rPr>
          <w:color w:val="000000"/>
          <w:sz w:val="22"/>
        </w:rPr>
        <w:t>control notice.</w:t>
      </w:r>
    </w:p>
    <w:p w:rsidR="00041C54" w:rsidRPr="00D37245" w:rsidRDefault="00041C54" w:rsidP="00DD6F93">
      <w:pPr>
        <w:pStyle w:val="Heading1"/>
        <w:numPr>
          <w:ilvl w:val="0"/>
          <w:numId w:val="10"/>
        </w:numPr>
      </w:pPr>
      <w:bookmarkStart w:id="10" w:name="_Toc301531195"/>
      <w:bookmarkStart w:id="11" w:name="_Toc301783558"/>
      <w:r w:rsidRPr="00D37245">
        <w:t>International Copyright Overview</w:t>
      </w:r>
      <w:bookmarkEnd w:id="10"/>
      <w:bookmarkEnd w:id="11"/>
    </w:p>
    <w:p w:rsidR="00041C54" w:rsidRPr="00D37245" w:rsidRDefault="00041C54" w:rsidP="00041C54">
      <w:pPr>
        <w:pStyle w:val="BodyText"/>
        <w:rPr>
          <w:color w:val="000000"/>
          <w:sz w:val="22"/>
        </w:rPr>
      </w:pPr>
      <w:r w:rsidRPr="00D37245">
        <w:rPr>
          <w:color w:val="000000"/>
          <w:sz w:val="22"/>
        </w:rPr>
        <w:t xml:space="preserve">Although most countries recognize copyrights under domestic copyright laws, such laws rarely protect a copyright owner when copyrighted works are reproduced or used outside the owner’s resident country. However, international </w:t>
      </w:r>
      <w:hyperlink r:id="rId12" w:tgtFrame="_blank" w:history="1">
        <w:r w:rsidRPr="00D37245">
          <w:rPr>
            <w:color w:val="000000"/>
            <w:sz w:val="22"/>
          </w:rPr>
          <w:t>copyright law</w:t>
        </w:r>
      </w:hyperlink>
      <w:r w:rsidR="00FA2BC6">
        <w:t>s</w:t>
      </w:r>
      <w:r w:rsidRPr="00D37245">
        <w:rPr>
          <w:color w:val="000000"/>
          <w:sz w:val="22"/>
        </w:rPr>
        <w:t xml:space="preserve"> </w:t>
      </w:r>
      <w:r w:rsidR="00FA2BC6">
        <w:rPr>
          <w:color w:val="000000"/>
          <w:sz w:val="22"/>
        </w:rPr>
        <w:t>do</w:t>
      </w:r>
      <w:r w:rsidRPr="00D37245">
        <w:rPr>
          <w:color w:val="000000"/>
          <w:sz w:val="22"/>
        </w:rPr>
        <w:t xml:space="preserve"> exist which </w:t>
      </w:r>
      <w:r w:rsidR="00FA2BC6">
        <w:rPr>
          <w:color w:val="000000"/>
          <w:sz w:val="22"/>
        </w:rPr>
        <w:t>are</w:t>
      </w:r>
      <w:r w:rsidR="00FA2BC6" w:rsidRPr="00D37245">
        <w:rPr>
          <w:color w:val="000000"/>
          <w:sz w:val="22"/>
        </w:rPr>
        <w:t xml:space="preserve"> </w:t>
      </w:r>
      <w:r w:rsidRPr="00D37245">
        <w:rPr>
          <w:color w:val="000000"/>
          <w:sz w:val="22"/>
        </w:rPr>
        <w:t xml:space="preserve">based on co-operative agreements between participating countries for the common recognition of </w:t>
      </w:r>
      <w:hyperlink r:id="rId13" w:tgtFrame="_blank" w:history="1">
        <w:r w:rsidRPr="00D37245">
          <w:rPr>
            <w:color w:val="000000"/>
            <w:sz w:val="22"/>
          </w:rPr>
          <w:t>copyright</w:t>
        </w:r>
      </w:hyperlink>
      <w:r w:rsidRPr="00D37245">
        <w:rPr>
          <w:color w:val="000000"/>
          <w:sz w:val="22"/>
        </w:rPr>
        <w:t xml:space="preserve">s </w:t>
      </w:r>
      <w:r w:rsidR="00D14AD9">
        <w:rPr>
          <w:color w:val="000000"/>
          <w:sz w:val="22"/>
        </w:rPr>
        <w:t>between</w:t>
      </w:r>
      <w:r w:rsidR="00D14AD9" w:rsidRPr="00D37245">
        <w:rPr>
          <w:color w:val="000000"/>
          <w:sz w:val="22"/>
        </w:rPr>
        <w:t xml:space="preserve"> </w:t>
      </w:r>
      <w:r w:rsidRPr="00D37245">
        <w:rPr>
          <w:color w:val="000000"/>
          <w:sz w:val="22"/>
        </w:rPr>
        <w:t>such countries. Various agreements, such as the Berne Convention, the Universal Copyright Convention, and the WIPO Copyright Treaty establish co</w:t>
      </w:r>
      <w:r w:rsidR="00D14AD9">
        <w:rPr>
          <w:color w:val="000000"/>
          <w:sz w:val="22"/>
        </w:rPr>
        <w:t>pyrights commonly recognized between</w:t>
      </w:r>
      <w:r w:rsidRPr="00D37245">
        <w:rPr>
          <w:color w:val="000000"/>
          <w:sz w:val="22"/>
        </w:rPr>
        <w:t xml:space="preserve"> participating countries. </w:t>
      </w:r>
    </w:p>
    <w:p w:rsidR="00041C54" w:rsidRDefault="00041C54" w:rsidP="00041C54">
      <w:pPr>
        <w:pStyle w:val="BodyText"/>
        <w:rPr>
          <w:color w:val="000000"/>
          <w:sz w:val="22"/>
        </w:rPr>
      </w:pPr>
      <w:r w:rsidRPr="00D37245">
        <w:rPr>
          <w:color w:val="000000"/>
          <w:sz w:val="22"/>
        </w:rPr>
        <w:t xml:space="preserve">In general, authorized copies of </w:t>
      </w:r>
      <w:r w:rsidR="00FA2BC6">
        <w:rPr>
          <w:color w:val="000000"/>
          <w:sz w:val="22"/>
        </w:rPr>
        <w:t>an</w:t>
      </w:r>
      <w:r w:rsidR="00FA2BC6" w:rsidRPr="00D37245">
        <w:rPr>
          <w:color w:val="000000"/>
          <w:sz w:val="22"/>
        </w:rPr>
        <w:t xml:space="preserve"> </w:t>
      </w:r>
      <w:r w:rsidRPr="00D37245">
        <w:rPr>
          <w:color w:val="000000"/>
          <w:sz w:val="22"/>
        </w:rPr>
        <w:t xml:space="preserve">author’s work must display a copyright notice on or in the material that require protection, including the name of the copyright owner and the year of publication. While the use of </w:t>
      </w:r>
      <w:r w:rsidR="00D14AD9">
        <w:rPr>
          <w:color w:val="000000"/>
          <w:sz w:val="22"/>
        </w:rPr>
        <w:t>a</w:t>
      </w:r>
      <w:r w:rsidR="00D14AD9" w:rsidRPr="00D37245">
        <w:rPr>
          <w:color w:val="000000"/>
          <w:sz w:val="22"/>
        </w:rPr>
        <w:t xml:space="preserve"> </w:t>
      </w:r>
      <w:r w:rsidRPr="00D37245">
        <w:rPr>
          <w:color w:val="000000"/>
          <w:sz w:val="22"/>
        </w:rPr>
        <w:t xml:space="preserve">prescribed format is not mandatory in some countries, such </w:t>
      </w:r>
      <w:r w:rsidR="00D14AD9">
        <w:rPr>
          <w:color w:val="000000"/>
          <w:sz w:val="22"/>
        </w:rPr>
        <w:t>prescribed format of the copyright notice</w:t>
      </w:r>
      <w:r w:rsidRPr="00D37245">
        <w:rPr>
          <w:color w:val="000000"/>
          <w:sz w:val="22"/>
        </w:rPr>
        <w:t xml:space="preserve"> does provide certain legal advantages to a copyright owner as explained further below. </w:t>
      </w:r>
    </w:p>
    <w:p w:rsidR="00041C54" w:rsidRPr="00D37245" w:rsidRDefault="00041C54" w:rsidP="00041C54">
      <w:pPr>
        <w:pStyle w:val="BodyText"/>
        <w:rPr>
          <w:color w:val="000000"/>
          <w:sz w:val="22"/>
        </w:rPr>
      </w:pPr>
    </w:p>
    <w:p w:rsidR="00041C54" w:rsidRPr="00D37245" w:rsidRDefault="00041C54" w:rsidP="00B31B21">
      <w:pPr>
        <w:pStyle w:val="Heading1"/>
        <w:numPr>
          <w:ilvl w:val="0"/>
          <w:numId w:val="10"/>
        </w:numPr>
      </w:pPr>
      <w:bookmarkStart w:id="12" w:name="_Toc301531196"/>
      <w:bookmarkStart w:id="13" w:name="_Toc301531197"/>
      <w:bookmarkStart w:id="14" w:name="_Toc301783559"/>
      <w:bookmarkEnd w:id="12"/>
      <w:r w:rsidRPr="00D37245">
        <w:t xml:space="preserve">NetApp Copyright Notice </w:t>
      </w:r>
      <w:bookmarkEnd w:id="13"/>
      <w:bookmarkEnd w:id="14"/>
      <w:r w:rsidR="003D09AD">
        <w:t>Guidelines</w:t>
      </w:r>
    </w:p>
    <w:p w:rsidR="00041C54" w:rsidRPr="00D37245" w:rsidRDefault="00041C54" w:rsidP="00041C54">
      <w:pPr>
        <w:pStyle w:val="BodyText"/>
        <w:rPr>
          <w:color w:val="000000"/>
          <w:sz w:val="22"/>
        </w:rPr>
      </w:pPr>
      <w:r w:rsidRPr="00D37245">
        <w:rPr>
          <w:color w:val="000000"/>
          <w:sz w:val="22"/>
        </w:rPr>
        <w:t xml:space="preserve">To protect NetApp copyrights, the following guidelines comprise the NetApp Copyright Notice </w:t>
      </w:r>
      <w:r w:rsidR="003D09AD">
        <w:rPr>
          <w:color w:val="000000"/>
          <w:sz w:val="22"/>
        </w:rPr>
        <w:t>Guidelines</w:t>
      </w:r>
      <w:r w:rsidRPr="00D37245">
        <w:rPr>
          <w:color w:val="000000"/>
          <w:sz w:val="22"/>
        </w:rPr>
        <w:t xml:space="preserve">: </w:t>
      </w:r>
    </w:p>
    <w:p w:rsidR="00041C54" w:rsidRPr="000E5E26" w:rsidRDefault="00041C54" w:rsidP="00041C54">
      <w:pPr>
        <w:autoSpaceDE w:val="0"/>
        <w:autoSpaceDN w:val="0"/>
        <w:adjustRightInd w:val="0"/>
        <w:spacing w:after="0"/>
        <w:rPr>
          <w:rFonts w:ascii="Times New Roman" w:hAnsi="Times New Roman"/>
          <w:color w:val="000000"/>
        </w:rPr>
      </w:pPr>
    </w:p>
    <w:p w:rsidR="00041C54" w:rsidRPr="00D37245" w:rsidRDefault="00041C54" w:rsidP="00B31B21">
      <w:pPr>
        <w:pStyle w:val="BodyText"/>
        <w:numPr>
          <w:ilvl w:val="0"/>
          <w:numId w:val="12"/>
        </w:numPr>
        <w:rPr>
          <w:color w:val="000000"/>
          <w:sz w:val="22"/>
        </w:rPr>
      </w:pPr>
      <w:r w:rsidRPr="00D37245">
        <w:rPr>
          <w:color w:val="000000"/>
          <w:sz w:val="22"/>
        </w:rPr>
        <w:t xml:space="preserve">Always use the phrase “Copyright ©”, adding the relevant year the work is published.  </w:t>
      </w:r>
    </w:p>
    <w:p w:rsidR="00041C54" w:rsidRPr="00D37245" w:rsidRDefault="00041C54" w:rsidP="00B31B21">
      <w:pPr>
        <w:pStyle w:val="BodyText"/>
        <w:numPr>
          <w:ilvl w:val="0"/>
          <w:numId w:val="12"/>
        </w:numPr>
        <w:rPr>
          <w:color w:val="000000"/>
          <w:sz w:val="22"/>
        </w:rPr>
      </w:pPr>
      <w:r w:rsidRPr="00D37245">
        <w:rPr>
          <w:color w:val="000000"/>
          <w:sz w:val="22"/>
        </w:rPr>
        <w:t xml:space="preserve">Always identify “NetApp, Inc.” as the owner of the copyright.  NetApp, Inc. is the principal holding company since it affords advantages in terms of central copyright management and control, ease of administration as well as tax, and accounting reasons. </w:t>
      </w:r>
    </w:p>
    <w:p w:rsidR="00041C54" w:rsidRDefault="00041C54" w:rsidP="00B31B21">
      <w:pPr>
        <w:pStyle w:val="BodyText"/>
        <w:numPr>
          <w:ilvl w:val="0"/>
          <w:numId w:val="12"/>
        </w:numPr>
        <w:rPr>
          <w:color w:val="000000"/>
          <w:sz w:val="22"/>
        </w:rPr>
      </w:pPr>
      <w:r w:rsidRPr="00041C54">
        <w:rPr>
          <w:color w:val="000000"/>
          <w:sz w:val="22"/>
        </w:rPr>
        <w:t xml:space="preserve">Always use the phrase “All rights reserved.” to preserve NetApp rights in countries which require express reservation of related rights. </w:t>
      </w:r>
    </w:p>
    <w:p w:rsidR="00041C54" w:rsidRPr="00041C54" w:rsidRDefault="00041C54" w:rsidP="00B31B21">
      <w:pPr>
        <w:pStyle w:val="BodyText"/>
        <w:numPr>
          <w:ilvl w:val="0"/>
          <w:numId w:val="12"/>
        </w:numPr>
        <w:rPr>
          <w:color w:val="000000"/>
          <w:sz w:val="22"/>
        </w:rPr>
      </w:pPr>
      <w:r w:rsidRPr="00041C54">
        <w:rPr>
          <w:color w:val="000000"/>
          <w:sz w:val="22"/>
        </w:rPr>
        <w:t xml:space="preserve">A copyright notice provides public notice of one’s copyright in a work </w:t>
      </w:r>
      <w:r w:rsidR="00D14AD9">
        <w:rPr>
          <w:color w:val="000000"/>
          <w:sz w:val="22"/>
        </w:rPr>
        <w:t>and</w:t>
      </w:r>
      <w:r w:rsidRPr="00041C54">
        <w:rPr>
          <w:color w:val="000000"/>
          <w:sz w:val="22"/>
        </w:rPr>
        <w:t xml:space="preserve"> is required to protect the copyright.  The notice must be legible and adequate in size and font, and must be conspicuous on or in a product, documentation or marketing materials (please refer to Appendix C). Typical examples of copyright notices include the legal wording on the face of software distributed on CD-ROM, DVD, or other physical media; the legend at the end of a press release or advertisement. Hiding or minimizing this information may result in an ineffective notice which impacts the enforceability of the copyright. </w:t>
      </w:r>
    </w:p>
    <w:p w:rsidR="00041C54" w:rsidRPr="00D37245" w:rsidRDefault="00041C54" w:rsidP="00041C54">
      <w:pPr>
        <w:pStyle w:val="BodyText"/>
        <w:rPr>
          <w:color w:val="000000"/>
          <w:sz w:val="22"/>
        </w:rPr>
      </w:pPr>
      <w:r w:rsidRPr="00D37245">
        <w:rPr>
          <w:color w:val="000000"/>
          <w:sz w:val="22"/>
        </w:rPr>
        <w:t>Additionally, NetApp may be contractually required to provide notice regarding the intellectual property rights of certain licensors or suppliers whose work NetApp may incorporate in part or in full in its own published works or products.</w:t>
      </w:r>
    </w:p>
    <w:p w:rsidR="00041C54" w:rsidRPr="00D37245" w:rsidRDefault="00041C54" w:rsidP="00041C54">
      <w:pPr>
        <w:pStyle w:val="BodyText"/>
        <w:rPr>
          <w:color w:val="000000"/>
          <w:sz w:val="22"/>
        </w:rPr>
      </w:pPr>
      <w:r w:rsidRPr="00D37245">
        <w:rPr>
          <w:color w:val="000000"/>
          <w:sz w:val="22"/>
        </w:rPr>
        <w:t>If  you know or have grounds to believe any work you wish to incorporate into NetApp works or products is copyrighted by another party, and need help verifying this or the wording of the notice or any related query, please contact NetApp Legal (dl-legal).</w:t>
      </w:r>
    </w:p>
    <w:p w:rsidR="00041C54" w:rsidRPr="00D37245" w:rsidRDefault="00041C54" w:rsidP="00B31B21">
      <w:pPr>
        <w:pStyle w:val="Heading1"/>
        <w:numPr>
          <w:ilvl w:val="0"/>
          <w:numId w:val="10"/>
        </w:numPr>
      </w:pPr>
      <w:bookmarkStart w:id="15" w:name="_Toc301531198"/>
      <w:bookmarkStart w:id="16" w:name="_Toc301531199"/>
      <w:bookmarkStart w:id="17" w:name="_Toc301783560"/>
      <w:bookmarkEnd w:id="15"/>
      <w:r>
        <w:rPr>
          <w:caps w:val="0"/>
        </w:rPr>
        <w:t xml:space="preserve">COPYRIGHT </w:t>
      </w:r>
      <w:r w:rsidRPr="00D37245">
        <w:t>Notice Format</w:t>
      </w:r>
      <w:bookmarkEnd w:id="16"/>
      <w:bookmarkEnd w:id="17"/>
      <w:r w:rsidRPr="00D37245">
        <w:t xml:space="preserve"> </w:t>
      </w:r>
    </w:p>
    <w:p w:rsidR="00041C54" w:rsidRPr="00D37245" w:rsidRDefault="00041C54" w:rsidP="00041C54">
      <w:pPr>
        <w:pStyle w:val="BodyText"/>
        <w:rPr>
          <w:color w:val="000000"/>
          <w:sz w:val="22"/>
        </w:rPr>
      </w:pPr>
      <w:r w:rsidRPr="00D37245">
        <w:rPr>
          <w:color w:val="000000"/>
          <w:sz w:val="22"/>
        </w:rPr>
        <w:t>The NetApp copyright notice should appear as follows:</w:t>
      </w:r>
    </w:p>
    <w:p w:rsidR="00041C54" w:rsidRPr="00271760" w:rsidRDefault="00041C54" w:rsidP="00041C54">
      <w:pPr>
        <w:autoSpaceDE w:val="0"/>
        <w:autoSpaceDN w:val="0"/>
        <w:adjustRightInd w:val="0"/>
        <w:spacing w:after="0"/>
        <w:rPr>
          <w:rFonts w:ascii="Times New Roman" w:hAnsi="Times New Roman"/>
          <w:b/>
          <w:bCs/>
        </w:rPr>
      </w:pPr>
      <w:r w:rsidRPr="006830E5">
        <w:rPr>
          <w:rFonts w:ascii="Times New Roman" w:hAnsi="Times New Roman"/>
          <w:b/>
          <w:bCs/>
        </w:rPr>
        <w:t xml:space="preserve"> </w:t>
      </w: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041C54" w:rsidTr="001A6394">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041C54" w:rsidRPr="008A053E" w:rsidRDefault="00041C54" w:rsidP="001A6394">
            <w:pPr>
              <w:pStyle w:val="TableHeading"/>
            </w:pPr>
            <w:r w:rsidRPr="008A053E">
              <w:t>Best Practice</w:t>
            </w:r>
          </w:p>
        </w:tc>
      </w:tr>
      <w:tr w:rsidR="00041C54" w:rsidTr="001A6394">
        <w:trPr>
          <w:cantSplit/>
        </w:trPr>
        <w:tc>
          <w:tcPr>
            <w:tcW w:w="8741" w:type="dxa"/>
          </w:tcPr>
          <w:p w:rsidR="00041C54" w:rsidRDefault="00041C54" w:rsidP="001A6394">
            <w:pPr>
              <w:pStyle w:val="BodyText"/>
            </w:pPr>
            <w:r w:rsidRPr="00D37245">
              <w:t>Copyright © [year] NetApp, Inc. All Rights Reserved.</w:t>
            </w:r>
          </w:p>
        </w:tc>
      </w:tr>
    </w:tbl>
    <w:p w:rsidR="00041C54" w:rsidRDefault="00041C54" w:rsidP="00041C54">
      <w:pPr>
        <w:rPr>
          <w:rFonts w:ascii="Times New Roman" w:hAnsi="Times New Roman"/>
        </w:rPr>
      </w:pPr>
    </w:p>
    <w:p w:rsidR="00041C54" w:rsidRPr="00FD5F3E" w:rsidRDefault="00041C54" w:rsidP="00041C54">
      <w:pPr>
        <w:pStyle w:val="BodyText"/>
        <w:rPr>
          <w:color w:val="000000"/>
          <w:sz w:val="22"/>
        </w:rPr>
      </w:pPr>
      <w:r w:rsidRPr="00FD5F3E">
        <w:rPr>
          <w:color w:val="000000"/>
          <w:sz w:val="22"/>
        </w:rPr>
        <w:t xml:space="preserve">Use the current calendar year for the date on a copyright notice unless the situations below are applicable to the version, release, or revision of the work: </w:t>
      </w:r>
    </w:p>
    <w:p w:rsidR="00041C54" w:rsidRPr="007C64DD" w:rsidRDefault="000F6EC6" w:rsidP="00041C54">
      <w:pPr>
        <w:pStyle w:val="Note"/>
        <w:rPr>
          <w:szCs w:val="20"/>
        </w:rPr>
      </w:pPr>
      <w:r>
        <w:rPr>
          <w:szCs w:val="20"/>
        </w:rPr>
        <w:t>When p</w:t>
      </w:r>
      <w:r w:rsidR="00041C54" w:rsidRPr="007C64DD">
        <w:rPr>
          <w:szCs w:val="20"/>
        </w:rPr>
        <w:t xml:space="preserve">roduct or documents </w:t>
      </w:r>
      <w:r>
        <w:rPr>
          <w:szCs w:val="20"/>
        </w:rPr>
        <w:t xml:space="preserve">will be </w:t>
      </w:r>
      <w:r w:rsidR="00041C54" w:rsidRPr="007C64DD">
        <w:rPr>
          <w:szCs w:val="20"/>
        </w:rPr>
        <w:t xml:space="preserve">shipping in the next </w:t>
      </w:r>
      <w:r>
        <w:rPr>
          <w:szCs w:val="20"/>
        </w:rPr>
        <w:t xml:space="preserve">calendar </w:t>
      </w:r>
      <w:r w:rsidR="00041C54" w:rsidRPr="007C64DD">
        <w:rPr>
          <w:szCs w:val="20"/>
        </w:rPr>
        <w:t>year</w:t>
      </w:r>
      <w:r>
        <w:rPr>
          <w:szCs w:val="20"/>
        </w:rPr>
        <w:t xml:space="preserve"> and</w:t>
      </w:r>
      <w:r w:rsidR="00041C54" w:rsidRPr="007C64DD">
        <w:rPr>
          <w:szCs w:val="20"/>
        </w:rPr>
        <w:t xml:space="preserve"> it is close to the end of the current calendar year, then the next calendar year should appear in the legal notice.</w:t>
      </w:r>
    </w:p>
    <w:p w:rsidR="00EE03A9" w:rsidRDefault="002132F3">
      <w:pPr>
        <w:pStyle w:val="BodyText"/>
        <w:ind w:left="720"/>
        <w:rPr>
          <w:color w:val="000000"/>
          <w:szCs w:val="20"/>
        </w:rPr>
      </w:pPr>
      <w:r w:rsidRPr="002132F3">
        <w:rPr>
          <w:color w:val="000000"/>
          <w:szCs w:val="20"/>
        </w:rPr>
        <w:t>Example: If today’s date is December 15, 2011, and copyright notices are being prepared for a product that will ship in January 2012, then 2012 should be the calendar year appearing on the copyright notice.</w:t>
      </w:r>
    </w:p>
    <w:p w:rsidR="00041C54" w:rsidRPr="007C64DD" w:rsidRDefault="00041C54" w:rsidP="00041C54">
      <w:pPr>
        <w:pStyle w:val="Note"/>
        <w:rPr>
          <w:szCs w:val="20"/>
        </w:rPr>
      </w:pPr>
      <w:r w:rsidRPr="007C64DD">
        <w:rPr>
          <w:szCs w:val="20"/>
        </w:rPr>
        <w:t xml:space="preserve">If </w:t>
      </w:r>
      <w:r w:rsidR="002132F3" w:rsidRPr="002132F3">
        <w:rPr>
          <w:szCs w:val="20"/>
        </w:rPr>
        <w:t>copyrights</w:t>
      </w:r>
      <w:r w:rsidRPr="007C64DD">
        <w:rPr>
          <w:szCs w:val="20"/>
        </w:rPr>
        <w:t xml:space="preserve"> notices </w:t>
      </w:r>
      <w:r w:rsidR="002132F3" w:rsidRPr="002132F3">
        <w:rPr>
          <w:szCs w:val="20"/>
        </w:rPr>
        <w:t xml:space="preserve">are being prepared </w:t>
      </w:r>
      <w:r w:rsidRPr="007C64DD">
        <w:rPr>
          <w:szCs w:val="20"/>
        </w:rPr>
        <w:t>for Beta and FCS</w:t>
      </w:r>
      <w:r w:rsidR="000F6EC6">
        <w:rPr>
          <w:szCs w:val="20"/>
        </w:rPr>
        <w:t>/RC1</w:t>
      </w:r>
      <w:r w:rsidRPr="007C64DD">
        <w:rPr>
          <w:szCs w:val="20"/>
        </w:rPr>
        <w:t xml:space="preserve"> versions of a product, the date may differ if there are substantial changes between versions.</w:t>
      </w:r>
    </w:p>
    <w:p w:rsidR="00041C54" w:rsidRPr="007C64DD" w:rsidRDefault="00041C54" w:rsidP="00041C54">
      <w:pPr>
        <w:pStyle w:val="Note"/>
        <w:numPr>
          <w:ilvl w:val="0"/>
          <w:numId w:val="0"/>
        </w:numPr>
        <w:ind w:left="720"/>
        <w:rPr>
          <w:szCs w:val="20"/>
          <w:u w:val="single"/>
        </w:rPr>
      </w:pPr>
      <w:r w:rsidRPr="007C64DD">
        <w:rPr>
          <w:szCs w:val="20"/>
          <w:u w:val="single"/>
        </w:rPr>
        <w:t>Example</w:t>
      </w:r>
      <w:r w:rsidRPr="007C64DD">
        <w:rPr>
          <w:szCs w:val="20"/>
        </w:rPr>
        <w:t>: If the Beta</w:t>
      </w:r>
      <w:r w:rsidR="000F6EC6">
        <w:rPr>
          <w:szCs w:val="20"/>
        </w:rPr>
        <w:t xml:space="preserve"> version</w:t>
      </w:r>
      <w:r w:rsidRPr="007C64DD">
        <w:rPr>
          <w:szCs w:val="20"/>
        </w:rPr>
        <w:t xml:space="preserve"> is being released in December of 2011, but </w:t>
      </w:r>
      <w:r w:rsidR="000F6EC6">
        <w:rPr>
          <w:szCs w:val="20"/>
        </w:rPr>
        <w:t>FCS/</w:t>
      </w:r>
      <w:r w:rsidRPr="007C64DD">
        <w:rPr>
          <w:szCs w:val="20"/>
        </w:rPr>
        <w:t xml:space="preserve">RC1 is scheduled for May 2012, the </w:t>
      </w:r>
      <w:r w:rsidR="002132F3" w:rsidRPr="002132F3">
        <w:rPr>
          <w:szCs w:val="20"/>
        </w:rPr>
        <w:t>copyright notice</w:t>
      </w:r>
      <w:r w:rsidRPr="007C64DD">
        <w:rPr>
          <w:szCs w:val="20"/>
        </w:rPr>
        <w:t xml:space="preserve"> will differ </w:t>
      </w:r>
      <w:r w:rsidR="002132F3" w:rsidRPr="002132F3">
        <w:rPr>
          <w:szCs w:val="20"/>
        </w:rPr>
        <w:t>between</w:t>
      </w:r>
      <w:r w:rsidR="007C64DD" w:rsidRPr="007C64DD">
        <w:rPr>
          <w:szCs w:val="20"/>
        </w:rPr>
        <w:t xml:space="preserve"> </w:t>
      </w:r>
      <w:r w:rsidRPr="007C64DD">
        <w:rPr>
          <w:szCs w:val="20"/>
        </w:rPr>
        <w:t xml:space="preserve">the Beta and </w:t>
      </w:r>
      <w:r w:rsidR="000F6EC6">
        <w:rPr>
          <w:szCs w:val="20"/>
        </w:rPr>
        <w:t>FCS/</w:t>
      </w:r>
      <w:r w:rsidRPr="007C64DD">
        <w:rPr>
          <w:szCs w:val="20"/>
        </w:rPr>
        <w:t xml:space="preserve">RC1 versions. In this case, a separate notice needs to be generated for each release if there are substantial changes between versions. If </w:t>
      </w:r>
      <w:r w:rsidR="002132F3" w:rsidRPr="002132F3">
        <w:rPr>
          <w:szCs w:val="20"/>
        </w:rPr>
        <w:t>a particular</w:t>
      </w:r>
      <w:r w:rsidR="007C64DD" w:rsidRPr="007C64DD">
        <w:rPr>
          <w:szCs w:val="20"/>
        </w:rPr>
        <w:t xml:space="preserve"> </w:t>
      </w:r>
      <w:r w:rsidRPr="007C64DD">
        <w:rPr>
          <w:szCs w:val="20"/>
        </w:rPr>
        <w:t>release is not made available to the general public</w:t>
      </w:r>
      <w:r w:rsidR="002132F3" w:rsidRPr="002132F3">
        <w:rPr>
          <w:szCs w:val="20"/>
        </w:rPr>
        <w:t xml:space="preserve"> (e.g., Beta release)</w:t>
      </w:r>
      <w:r w:rsidRPr="007C64DD">
        <w:rPr>
          <w:szCs w:val="20"/>
        </w:rPr>
        <w:t xml:space="preserve">, the IP Legal Group (dl-legal-ip) </w:t>
      </w:r>
      <w:r w:rsidR="002132F3" w:rsidRPr="002132F3">
        <w:rPr>
          <w:szCs w:val="20"/>
        </w:rPr>
        <w:t xml:space="preserve">should </w:t>
      </w:r>
      <w:r w:rsidR="000F6EC6">
        <w:rPr>
          <w:szCs w:val="20"/>
        </w:rPr>
        <w:t xml:space="preserve">further </w:t>
      </w:r>
      <w:r w:rsidR="002132F3" w:rsidRPr="002132F3">
        <w:rPr>
          <w:szCs w:val="20"/>
        </w:rPr>
        <w:t xml:space="preserve">be consulted </w:t>
      </w:r>
      <w:r w:rsidRPr="007C64DD">
        <w:rPr>
          <w:szCs w:val="20"/>
        </w:rPr>
        <w:t xml:space="preserve">to </w:t>
      </w:r>
      <w:r w:rsidR="002132F3" w:rsidRPr="002132F3">
        <w:rPr>
          <w:szCs w:val="20"/>
        </w:rPr>
        <w:t>ensure patent protection of NetApp</w:t>
      </w:r>
      <w:r w:rsidRPr="007C64DD">
        <w:rPr>
          <w:szCs w:val="20"/>
        </w:rPr>
        <w:t>.</w:t>
      </w:r>
    </w:p>
    <w:p w:rsidR="00041C54" w:rsidRPr="00FD5F3E" w:rsidRDefault="00041C54" w:rsidP="00041C54">
      <w:pPr>
        <w:pStyle w:val="BodyText"/>
        <w:rPr>
          <w:color w:val="000000"/>
          <w:sz w:val="22"/>
        </w:rPr>
      </w:pPr>
      <w:r w:rsidRPr="00FD5F3E">
        <w:rPr>
          <w:color w:val="000000"/>
          <w:sz w:val="22"/>
        </w:rPr>
        <w:t xml:space="preserve">In the case of compilations or derivative works incorporating previously copyrighted material, include the year the source of the compilation or derivative work was first published. </w:t>
      </w:r>
    </w:p>
    <w:p w:rsidR="00041C54" w:rsidRDefault="00041C54" w:rsidP="00041C54">
      <w:pPr>
        <w:pStyle w:val="BodyText"/>
        <w:rPr>
          <w:color w:val="000000"/>
          <w:sz w:val="22"/>
        </w:rPr>
      </w:pPr>
      <w:r w:rsidRPr="00FD5F3E">
        <w:rPr>
          <w:color w:val="000000"/>
          <w:sz w:val="22"/>
        </w:rPr>
        <w:t xml:space="preserve">Multiple date ranges should be used when the work is substantially modified over a period of time.  Date ranges like “2008-2011” and multiple dates like “2008, 2009, 20010, 2011” should be used when the work is substantially revised each and every year during that range. In other words, a year should not be listed unless substantial changes to the work were made in that year. Substantial changes </w:t>
      </w:r>
      <w:r w:rsidR="007C64DD">
        <w:rPr>
          <w:color w:val="000000"/>
          <w:sz w:val="22"/>
        </w:rPr>
        <w:t>may</w:t>
      </w:r>
      <w:r w:rsidR="007C64DD" w:rsidRPr="00FD5F3E">
        <w:rPr>
          <w:color w:val="000000"/>
          <w:sz w:val="22"/>
        </w:rPr>
        <w:t xml:space="preserve"> </w:t>
      </w:r>
      <w:r w:rsidRPr="00FD5F3E">
        <w:rPr>
          <w:color w:val="000000"/>
          <w:sz w:val="22"/>
        </w:rPr>
        <w:t>include the addition of major new functionalities to software or a new section, chapter or appendix to a manual.</w:t>
      </w:r>
    </w:p>
    <w:p w:rsidR="00041C54" w:rsidRPr="00FD5F3E" w:rsidRDefault="00041C54" w:rsidP="00041C54">
      <w:pPr>
        <w:pStyle w:val="BodyText"/>
        <w:rPr>
          <w:color w:val="000000"/>
          <w:sz w:val="22"/>
        </w:rPr>
      </w:pP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041C54" w:rsidTr="001A6394">
        <w:trPr>
          <w:cantSplit/>
        </w:trPr>
        <w:tc>
          <w:tcPr>
            <w:tcW w:w="9360"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041C54" w:rsidRPr="008A053E" w:rsidRDefault="00041C54" w:rsidP="001A6394">
            <w:pPr>
              <w:pStyle w:val="TableHeading"/>
            </w:pPr>
            <w:r>
              <w:t>Notes to Client:</w:t>
            </w:r>
          </w:p>
        </w:tc>
      </w:tr>
      <w:tr w:rsidR="00041C54" w:rsidTr="001A6394">
        <w:trPr>
          <w:cantSplit/>
        </w:trPr>
        <w:tc>
          <w:tcPr>
            <w:tcW w:w="9360" w:type="dxa"/>
          </w:tcPr>
          <w:p w:rsidR="00041C54" w:rsidRDefault="008818E7" w:rsidP="00B31B21">
            <w:pPr>
              <w:pStyle w:val="BodyText"/>
              <w:numPr>
                <w:ilvl w:val="0"/>
                <w:numId w:val="13"/>
              </w:numPr>
            </w:pPr>
            <w:r w:rsidRPr="00FD5F3E">
              <w:t xml:space="preserve">Many copyright laws impose sanctions on both those who willfully remove copyright management information and those who distribute </w:t>
            </w:r>
            <w:r>
              <w:t xml:space="preserve">copyrighted </w:t>
            </w:r>
            <w:r w:rsidRPr="00FD5F3E">
              <w:t xml:space="preserve">works, knowing the copyright management information has been altered or removed. Copyright management information </w:t>
            </w:r>
            <w:r>
              <w:t>includes</w:t>
            </w:r>
            <w:r w:rsidRPr="00FD5F3E">
              <w:t xml:space="preserve"> any information about ownership, such as notice and attributions, as well as information about terms and conditions of use, such as license terms.</w:t>
            </w:r>
            <w:r>
              <w:t xml:space="preserve">  Accordingly, i</w:t>
            </w:r>
            <w:r w:rsidR="00041C54" w:rsidRPr="00FD5F3E">
              <w:t xml:space="preserve">f a NetApp product contains </w:t>
            </w:r>
            <w:r>
              <w:t>3</w:t>
            </w:r>
            <w:r w:rsidR="002132F3" w:rsidRPr="002132F3">
              <w:rPr>
                <w:vertAlign w:val="superscript"/>
              </w:rPr>
              <w:t>rd</w:t>
            </w:r>
            <w:r>
              <w:t xml:space="preserve"> party</w:t>
            </w:r>
            <w:r w:rsidR="00041C54" w:rsidRPr="00FD5F3E">
              <w:t xml:space="preserve"> materials or contributions, no </w:t>
            </w:r>
            <w:r>
              <w:t>3</w:t>
            </w:r>
            <w:r w:rsidR="002132F3" w:rsidRPr="002132F3">
              <w:rPr>
                <w:vertAlign w:val="superscript"/>
              </w:rPr>
              <w:t>rd</w:t>
            </w:r>
            <w:r>
              <w:t xml:space="preserve"> party copyright management</w:t>
            </w:r>
            <w:r w:rsidR="00041C54" w:rsidRPr="00FD5F3E">
              <w:t xml:space="preserve"> information should be removed from either the </w:t>
            </w:r>
            <w:r>
              <w:t>3</w:t>
            </w:r>
            <w:r w:rsidR="002132F3" w:rsidRPr="002132F3">
              <w:rPr>
                <w:vertAlign w:val="superscript"/>
              </w:rPr>
              <w:t>rd</w:t>
            </w:r>
            <w:r>
              <w:t xml:space="preserve"> party management</w:t>
            </w:r>
            <w:r w:rsidR="00041C54" w:rsidRPr="00FD5F3E">
              <w:t xml:space="preserve"> </w:t>
            </w:r>
            <w:r>
              <w:t xml:space="preserve">information </w:t>
            </w:r>
            <w:r w:rsidR="00041C54" w:rsidRPr="00FD5F3E">
              <w:t xml:space="preserve">without express written permission from the </w:t>
            </w:r>
            <w:r>
              <w:t>3</w:t>
            </w:r>
            <w:r w:rsidR="002132F3" w:rsidRPr="002132F3">
              <w:rPr>
                <w:vertAlign w:val="superscript"/>
              </w:rPr>
              <w:t>rd</w:t>
            </w:r>
            <w:r>
              <w:t xml:space="preserve"> party</w:t>
            </w:r>
            <w:r w:rsidR="00041C54" w:rsidRPr="00FD5F3E">
              <w:t>.</w:t>
            </w:r>
          </w:p>
          <w:p w:rsidR="00041C54" w:rsidRDefault="00041C54" w:rsidP="008818E7">
            <w:pPr>
              <w:pStyle w:val="BodyText"/>
              <w:numPr>
                <w:ilvl w:val="0"/>
                <w:numId w:val="13"/>
              </w:numPr>
            </w:pPr>
            <w:r w:rsidRPr="00FD5F3E">
              <w:t xml:space="preserve">A copyright notice is NOT a license to use the product. The release of a NetApp product requires a license </w:t>
            </w:r>
            <w:r w:rsidR="008818E7">
              <w:t>such as an</w:t>
            </w:r>
            <w:r w:rsidRPr="00FD5F3E">
              <w:t xml:space="preserve"> End User License Agreement (EULA) for released products or a Beta Agr</w:t>
            </w:r>
            <w:r w:rsidR="008818E7">
              <w:t>eement for pre-release products</w:t>
            </w:r>
            <w:r w:rsidRPr="00FD5F3E">
              <w:t>. NetApp Legal (dl-legal) can further assist with the appropriate licensing agreements.</w:t>
            </w:r>
          </w:p>
        </w:tc>
      </w:tr>
    </w:tbl>
    <w:p w:rsidR="00041C54" w:rsidRPr="00FD5F3E" w:rsidRDefault="00041C54" w:rsidP="00041C54">
      <w:pPr>
        <w:pStyle w:val="BodyText"/>
        <w:rPr>
          <w:color w:val="000000"/>
          <w:sz w:val="22"/>
        </w:rPr>
      </w:pPr>
    </w:p>
    <w:p w:rsidR="00041C54" w:rsidRPr="00FD5F3E" w:rsidRDefault="00041C54" w:rsidP="00B31B21">
      <w:pPr>
        <w:pStyle w:val="Heading1"/>
        <w:numPr>
          <w:ilvl w:val="0"/>
          <w:numId w:val="10"/>
        </w:numPr>
      </w:pPr>
      <w:bookmarkStart w:id="18" w:name="_Toc301531200"/>
      <w:bookmarkStart w:id="19" w:name="_Toc301531201"/>
      <w:bookmarkStart w:id="20" w:name="_Toc301531202"/>
      <w:bookmarkStart w:id="21" w:name="_Toc301531203"/>
      <w:bookmarkStart w:id="22" w:name="_Toc301531204"/>
      <w:bookmarkStart w:id="23" w:name="_Toc301531205"/>
      <w:bookmarkStart w:id="24" w:name="_Toc301531206"/>
      <w:bookmarkStart w:id="25" w:name="_Toc301531207"/>
      <w:bookmarkStart w:id="26" w:name="_Toc301531208"/>
      <w:bookmarkStart w:id="27" w:name="_Toc301531209"/>
      <w:bookmarkStart w:id="28" w:name="_Toc301531210"/>
      <w:bookmarkStart w:id="29" w:name="_Toc301531211"/>
      <w:bookmarkStart w:id="30" w:name="_Toc301531212"/>
      <w:bookmarkStart w:id="31" w:name="_Toc301531213"/>
      <w:bookmarkStart w:id="32" w:name="_Toc301783561"/>
      <w:bookmarkEnd w:id="18"/>
      <w:bookmarkEnd w:id="19"/>
      <w:bookmarkEnd w:id="20"/>
      <w:bookmarkEnd w:id="21"/>
      <w:bookmarkEnd w:id="22"/>
      <w:bookmarkEnd w:id="23"/>
      <w:bookmarkEnd w:id="24"/>
      <w:bookmarkEnd w:id="25"/>
      <w:bookmarkEnd w:id="26"/>
      <w:bookmarkEnd w:id="27"/>
      <w:bookmarkEnd w:id="28"/>
      <w:bookmarkEnd w:id="29"/>
      <w:bookmarkEnd w:id="30"/>
      <w:r w:rsidRPr="00FD5F3E">
        <w:t>Confidentiality Notice</w:t>
      </w:r>
      <w:bookmarkEnd w:id="31"/>
      <w:bookmarkEnd w:id="32"/>
      <w:r w:rsidRPr="00FD5F3E">
        <w:t xml:space="preserve"> </w:t>
      </w:r>
    </w:p>
    <w:p w:rsidR="00041C54" w:rsidRPr="00FD5F3E" w:rsidRDefault="00041C54" w:rsidP="00041C54">
      <w:pPr>
        <w:pStyle w:val="BodyText"/>
        <w:rPr>
          <w:color w:val="000000"/>
          <w:sz w:val="22"/>
        </w:rPr>
      </w:pPr>
      <w:r w:rsidRPr="00FD5F3E">
        <w:rPr>
          <w:color w:val="000000"/>
          <w:sz w:val="22"/>
        </w:rPr>
        <w:t xml:space="preserve">A </w:t>
      </w:r>
      <w:r>
        <w:rPr>
          <w:color w:val="000000"/>
          <w:sz w:val="22"/>
        </w:rPr>
        <w:t>c</w:t>
      </w:r>
      <w:r w:rsidRPr="00FD5F3E">
        <w:rPr>
          <w:color w:val="000000"/>
          <w:sz w:val="22"/>
        </w:rPr>
        <w:t xml:space="preserve">onfidentiality </w:t>
      </w:r>
      <w:r>
        <w:rPr>
          <w:color w:val="000000"/>
          <w:sz w:val="22"/>
        </w:rPr>
        <w:t>n</w:t>
      </w:r>
      <w:r w:rsidRPr="00FD5F3E">
        <w:rPr>
          <w:color w:val="000000"/>
          <w:sz w:val="22"/>
        </w:rPr>
        <w:t xml:space="preserve">otice </w:t>
      </w:r>
      <w:r>
        <w:rPr>
          <w:color w:val="000000"/>
          <w:sz w:val="22"/>
        </w:rPr>
        <w:t>should be included</w:t>
      </w:r>
      <w:r w:rsidRPr="00FD5F3E">
        <w:rPr>
          <w:color w:val="000000"/>
          <w:sz w:val="22"/>
        </w:rPr>
        <w:t xml:space="preserve"> at the end of a copyright notice in the appropriate text </w:t>
      </w:r>
      <w:r>
        <w:rPr>
          <w:color w:val="000000"/>
          <w:sz w:val="22"/>
        </w:rPr>
        <w:t>and</w:t>
      </w:r>
      <w:r w:rsidRPr="00FD5F3E">
        <w:rPr>
          <w:color w:val="000000"/>
          <w:sz w:val="22"/>
        </w:rPr>
        <w:t xml:space="preserve"> </w:t>
      </w:r>
      <w:r>
        <w:rPr>
          <w:color w:val="000000"/>
          <w:sz w:val="22"/>
        </w:rPr>
        <w:t>location</w:t>
      </w:r>
      <w:r w:rsidRPr="00FD5F3E">
        <w:rPr>
          <w:color w:val="000000"/>
          <w:sz w:val="22"/>
        </w:rPr>
        <w:t xml:space="preserve"> for certain categories of products. </w:t>
      </w:r>
    </w:p>
    <w:p w:rsidR="00041C54" w:rsidRPr="00FD5F3E" w:rsidRDefault="00041C54" w:rsidP="00041C54">
      <w:pPr>
        <w:pStyle w:val="BodyText"/>
        <w:rPr>
          <w:color w:val="000000"/>
          <w:sz w:val="22"/>
        </w:rPr>
      </w:pPr>
      <w:r w:rsidRPr="00FD5F3E">
        <w:rPr>
          <w:color w:val="000000"/>
          <w:sz w:val="22"/>
        </w:rPr>
        <w:t xml:space="preserve">The “NETAPP PROPRIETARY/CONFIDENTIAL” </w:t>
      </w:r>
      <w:r w:rsidR="007E2491">
        <w:rPr>
          <w:color w:val="000000"/>
          <w:sz w:val="22"/>
        </w:rPr>
        <w:t xml:space="preserve">confidentiality notice </w:t>
      </w:r>
      <w:r>
        <w:rPr>
          <w:color w:val="000000"/>
          <w:sz w:val="22"/>
        </w:rPr>
        <w:t>should</w:t>
      </w:r>
      <w:r w:rsidRPr="00FD5F3E">
        <w:rPr>
          <w:color w:val="000000"/>
          <w:sz w:val="22"/>
        </w:rPr>
        <w:t xml:space="preserve"> be </w:t>
      </w:r>
      <w:r>
        <w:rPr>
          <w:color w:val="000000"/>
          <w:sz w:val="22"/>
        </w:rPr>
        <w:t xml:space="preserve">included at </w:t>
      </w:r>
      <w:r w:rsidRPr="00FD5F3E">
        <w:rPr>
          <w:color w:val="000000"/>
          <w:sz w:val="22"/>
        </w:rPr>
        <w:t>the end of the copyright notice if the answer is “yes” to any of the following questions:</w:t>
      </w:r>
    </w:p>
    <w:p w:rsidR="00041C54" w:rsidRPr="00FD5F3E" w:rsidRDefault="00041C54" w:rsidP="00041C54">
      <w:pPr>
        <w:pStyle w:val="BodyText"/>
        <w:ind w:left="720"/>
        <w:rPr>
          <w:color w:val="000000"/>
          <w:sz w:val="22"/>
        </w:rPr>
      </w:pPr>
      <w:r w:rsidRPr="00FD5F3E">
        <w:rPr>
          <w:color w:val="000000"/>
          <w:sz w:val="22"/>
        </w:rPr>
        <w:t>The Product:</w:t>
      </w:r>
    </w:p>
    <w:p w:rsidR="00041C54" w:rsidRPr="00FD5F3E" w:rsidRDefault="00041C54" w:rsidP="00B31B21">
      <w:pPr>
        <w:pStyle w:val="BodyText"/>
        <w:numPr>
          <w:ilvl w:val="0"/>
          <w:numId w:val="15"/>
        </w:numPr>
        <w:ind w:left="1440"/>
        <w:rPr>
          <w:color w:val="000000"/>
          <w:sz w:val="22"/>
        </w:rPr>
      </w:pPr>
      <w:r w:rsidRPr="00FD5F3E">
        <w:rPr>
          <w:color w:val="000000"/>
          <w:sz w:val="22"/>
        </w:rPr>
        <w:t>has not and will not be published or released to the public;</w:t>
      </w:r>
    </w:p>
    <w:p w:rsidR="00041C54" w:rsidRPr="00FD5F3E" w:rsidRDefault="00041C54" w:rsidP="00B31B21">
      <w:pPr>
        <w:pStyle w:val="BodyText"/>
        <w:numPr>
          <w:ilvl w:val="0"/>
          <w:numId w:val="15"/>
        </w:numPr>
        <w:ind w:left="1440"/>
        <w:rPr>
          <w:color w:val="000000"/>
          <w:sz w:val="22"/>
        </w:rPr>
      </w:pPr>
      <w:r w:rsidRPr="00FD5F3E">
        <w:rPr>
          <w:color w:val="000000"/>
          <w:sz w:val="22"/>
        </w:rPr>
        <w:t>is source code that will not be distributed outside NetApp except under an</w:t>
      </w:r>
      <w:r>
        <w:rPr>
          <w:color w:val="000000"/>
          <w:sz w:val="22"/>
        </w:rPr>
        <w:t xml:space="preserve"> </w:t>
      </w:r>
      <w:r w:rsidRPr="00FD5F3E">
        <w:rPr>
          <w:color w:val="000000"/>
          <w:sz w:val="22"/>
        </w:rPr>
        <w:t>obligation of confidentiality (in other words, most source code);</w:t>
      </w:r>
    </w:p>
    <w:p w:rsidR="00041C54" w:rsidRPr="00FD5F3E" w:rsidRDefault="00041C54" w:rsidP="00B31B21">
      <w:pPr>
        <w:pStyle w:val="BodyText"/>
        <w:numPr>
          <w:ilvl w:val="0"/>
          <w:numId w:val="15"/>
        </w:numPr>
        <w:ind w:left="1440"/>
        <w:rPr>
          <w:color w:val="000000"/>
          <w:sz w:val="22"/>
        </w:rPr>
      </w:pPr>
      <w:r w:rsidRPr="00FD5F3E">
        <w:rPr>
          <w:color w:val="000000"/>
          <w:sz w:val="22"/>
        </w:rPr>
        <w:t>is source code, specifications, or any other product or document that either</w:t>
      </w:r>
    </w:p>
    <w:p w:rsidR="00041C54" w:rsidRDefault="00041C54" w:rsidP="00B31B21">
      <w:pPr>
        <w:pStyle w:val="BodyText"/>
        <w:numPr>
          <w:ilvl w:val="0"/>
          <w:numId w:val="14"/>
        </w:numPr>
        <w:ind w:left="1800"/>
        <w:rPr>
          <w:color w:val="000000"/>
          <w:sz w:val="22"/>
        </w:rPr>
      </w:pPr>
      <w:r w:rsidRPr="00FD5F3E">
        <w:rPr>
          <w:color w:val="000000"/>
          <w:sz w:val="22"/>
        </w:rPr>
        <w:t>will not be distributed outside of NetApp</w:t>
      </w:r>
      <w:r>
        <w:rPr>
          <w:color w:val="000000"/>
          <w:sz w:val="22"/>
        </w:rPr>
        <w:t>;</w:t>
      </w:r>
    </w:p>
    <w:p w:rsidR="00041C54" w:rsidRPr="00FD5F3E" w:rsidRDefault="00041C54" w:rsidP="00B31B21">
      <w:pPr>
        <w:pStyle w:val="BodyText"/>
        <w:numPr>
          <w:ilvl w:val="0"/>
          <w:numId w:val="14"/>
        </w:numPr>
        <w:ind w:left="1800"/>
        <w:rPr>
          <w:color w:val="000000"/>
          <w:sz w:val="22"/>
        </w:rPr>
      </w:pPr>
      <w:r w:rsidRPr="00FD5F3E">
        <w:rPr>
          <w:color w:val="000000"/>
          <w:sz w:val="22"/>
        </w:rPr>
        <w:t>will be distributed outside of NetApp to a</w:t>
      </w:r>
      <w:r>
        <w:rPr>
          <w:color w:val="000000"/>
          <w:sz w:val="22"/>
        </w:rPr>
        <w:t xml:space="preserve"> </w:t>
      </w:r>
      <w:r w:rsidRPr="00FD5F3E">
        <w:rPr>
          <w:color w:val="000000"/>
          <w:sz w:val="22"/>
        </w:rPr>
        <w:t>limited number of recipients who will be bound by written confidentialit</w:t>
      </w:r>
      <w:r>
        <w:rPr>
          <w:color w:val="000000"/>
          <w:sz w:val="22"/>
        </w:rPr>
        <w:t xml:space="preserve">y </w:t>
      </w:r>
      <w:r w:rsidRPr="00FD5F3E">
        <w:rPr>
          <w:color w:val="000000"/>
          <w:sz w:val="22"/>
        </w:rPr>
        <w:t>obligations; or</w:t>
      </w:r>
    </w:p>
    <w:p w:rsidR="00041C54" w:rsidRPr="00FD5F3E" w:rsidRDefault="00041C54" w:rsidP="00B31B21">
      <w:pPr>
        <w:pStyle w:val="BodyText"/>
        <w:numPr>
          <w:ilvl w:val="0"/>
          <w:numId w:val="14"/>
        </w:numPr>
        <w:ind w:left="1800"/>
        <w:rPr>
          <w:color w:val="000000"/>
          <w:sz w:val="22"/>
        </w:rPr>
      </w:pPr>
      <w:r w:rsidRPr="00FD5F3E">
        <w:rPr>
          <w:color w:val="000000"/>
          <w:sz w:val="22"/>
        </w:rPr>
        <w:t>is an internal web page for the NetApp Intranet.</w:t>
      </w:r>
    </w:p>
    <w:p w:rsidR="00041C54" w:rsidRPr="000E5E26" w:rsidRDefault="00041C54" w:rsidP="00041C54">
      <w:pPr>
        <w:autoSpaceDE w:val="0"/>
        <w:autoSpaceDN w:val="0"/>
        <w:adjustRightInd w:val="0"/>
        <w:spacing w:after="0"/>
        <w:ind w:left="-142"/>
        <w:rPr>
          <w:rFonts w:ascii="Times New Roman" w:hAnsi="Times New Roman"/>
          <w:b/>
          <w:bCs/>
        </w:rPr>
      </w:pPr>
      <w:r w:rsidRPr="00FD5F3E">
        <w:rPr>
          <w:rFonts w:ascii="Times New Roman" w:hAnsi="Times New Roman"/>
          <w:b/>
          <w:bCs/>
          <w:color w:val="000000"/>
        </w:rPr>
        <w:t xml:space="preserve">  </w:t>
      </w:r>
      <w:r w:rsidRPr="00D37245">
        <w:rPr>
          <w:color w:val="000000"/>
          <w:sz w:val="22"/>
        </w:rPr>
        <w:t xml:space="preserve">The NetApp </w:t>
      </w:r>
      <w:r>
        <w:rPr>
          <w:color w:val="000000"/>
          <w:sz w:val="22"/>
        </w:rPr>
        <w:t>confidentiality</w:t>
      </w:r>
      <w:r w:rsidRPr="00D37245">
        <w:rPr>
          <w:color w:val="000000"/>
          <w:sz w:val="22"/>
        </w:rPr>
        <w:t xml:space="preserve"> notice should appear as follows:</w:t>
      </w:r>
    </w:p>
    <w:p w:rsidR="00041C54" w:rsidRPr="00271760" w:rsidRDefault="00041C54" w:rsidP="00041C54">
      <w:pPr>
        <w:autoSpaceDE w:val="0"/>
        <w:autoSpaceDN w:val="0"/>
        <w:adjustRightInd w:val="0"/>
        <w:spacing w:after="0"/>
        <w:rPr>
          <w:rFonts w:ascii="Times New Roman" w:hAnsi="Times New Roman"/>
          <w:b/>
          <w:bCs/>
        </w:rPr>
      </w:pPr>
      <w:r w:rsidRPr="006830E5">
        <w:rPr>
          <w:rFonts w:ascii="Times New Roman" w:hAnsi="Times New Roman"/>
          <w:b/>
          <w:bCs/>
        </w:rPr>
        <w:t xml:space="preserve">   </w:t>
      </w: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041C54" w:rsidTr="001A6394">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041C54" w:rsidRPr="008A053E" w:rsidRDefault="00041C54" w:rsidP="001A6394">
            <w:pPr>
              <w:pStyle w:val="TableHeading"/>
            </w:pPr>
            <w:r w:rsidRPr="008A053E">
              <w:t>Best Practice</w:t>
            </w:r>
          </w:p>
        </w:tc>
      </w:tr>
      <w:tr w:rsidR="00041C54" w:rsidTr="001A6394">
        <w:trPr>
          <w:cantSplit/>
        </w:trPr>
        <w:tc>
          <w:tcPr>
            <w:tcW w:w="8741" w:type="dxa"/>
          </w:tcPr>
          <w:p w:rsidR="00041C54" w:rsidRDefault="00F16B78" w:rsidP="007E2491">
            <w:pPr>
              <w:pStyle w:val="BodyText"/>
            </w:pPr>
            <w:r w:rsidRPr="00F16B78">
              <w:rPr>
                <w:b/>
              </w:rPr>
              <w:t>CONFIDENTIALITY NOTICE</w:t>
            </w:r>
            <w:r>
              <w:t xml:space="preserve">: </w:t>
            </w:r>
            <w:r w:rsidR="00041C54">
              <w:t>THIS SOFTWARE CONTAINS CONFIDENTIAL INFORMATION OF NETAPP, INC. USE, DISCLOSURE OR REPRODUCTION IS PROHIBITED WITHOUT THE PRIOR EXPRESS WRITTEN PERMISSION OF NETAPP, INC.</w:t>
            </w:r>
          </w:p>
        </w:tc>
      </w:tr>
    </w:tbl>
    <w:p w:rsidR="00041C54" w:rsidRDefault="00041C54" w:rsidP="00041C54">
      <w:pPr>
        <w:rPr>
          <w:rFonts w:ascii="Times New Roman" w:hAnsi="Times New Roman"/>
        </w:rPr>
      </w:pPr>
    </w:p>
    <w:p w:rsidR="00041C54" w:rsidRDefault="00041C54" w:rsidP="00041C54">
      <w:pPr>
        <w:pStyle w:val="BodyText"/>
        <w:rPr>
          <w:sz w:val="22"/>
        </w:rPr>
      </w:pPr>
      <w:r w:rsidRPr="00FD5F3E">
        <w:rPr>
          <w:color w:val="000000"/>
          <w:sz w:val="22"/>
        </w:rPr>
        <w:t>Additional information regarding NetApp’s information classification policy is available at:</w:t>
      </w:r>
      <w:r>
        <w:rPr>
          <w:sz w:val="22"/>
        </w:rPr>
        <w:t>.</w:t>
      </w:r>
      <w:r w:rsidR="005C26BB">
        <w:rPr>
          <w:sz w:val="22"/>
        </w:rPr>
        <w:t xml:space="preserve"> </w:t>
      </w:r>
      <w:hyperlink r:id="rId14" w:history="1">
        <w:r w:rsidR="005C26BB" w:rsidRPr="005C26BB">
          <w:rPr>
            <w:rStyle w:val="Hyperlink"/>
            <w:color w:val="4F81BD" w:themeColor="accent1"/>
            <w:sz w:val="22"/>
          </w:rPr>
          <w:t>ht</w:t>
        </w:r>
        <w:r w:rsidR="005C26BB" w:rsidRPr="005C26BB">
          <w:rPr>
            <w:rStyle w:val="Hyperlink"/>
            <w:color w:val="4F81BD" w:themeColor="accent1"/>
            <w:sz w:val="22"/>
          </w:rPr>
          <w:t>t</w:t>
        </w:r>
        <w:r w:rsidR="005C26BB" w:rsidRPr="005C26BB">
          <w:rPr>
            <w:rStyle w:val="Hyperlink"/>
            <w:color w:val="4F81BD" w:themeColor="accent1"/>
            <w:sz w:val="22"/>
          </w:rPr>
          <w:t>p://legal-web.corp.netapp.com/legal/igb/IT%20Information%20Classification%20Policy.htm</w:t>
        </w:r>
      </w:hyperlink>
    </w:p>
    <w:p w:rsidR="00041C54" w:rsidRDefault="00041C54" w:rsidP="00041C54">
      <w:pPr>
        <w:pStyle w:val="BodyText"/>
        <w:rPr>
          <w:rFonts w:ascii="Times New Roman" w:eastAsiaTheme="majorEastAsia" w:hAnsi="Times New Roman"/>
          <w:color w:val="000000"/>
          <w:sz w:val="28"/>
          <w:szCs w:val="28"/>
        </w:rPr>
      </w:pPr>
    </w:p>
    <w:p w:rsidR="00041C54" w:rsidRPr="00F4382A" w:rsidRDefault="009E65A3" w:rsidP="00B31B21">
      <w:pPr>
        <w:pStyle w:val="Heading1"/>
        <w:numPr>
          <w:ilvl w:val="0"/>
          <w:numId w:val="10"/>
        </w:numPr>
      </w:pPr>
      <w:bookmarkStart w:id="33" w:name="_Toc301530465"/>
      <w:bookmarkStart w:id="34" w:name="_Toc301531214"/>
      <w:bookmarkStart w:id="35" w:name="_Toc301783562"/>
      <w:bookmarkEnd w:id="33"/>
      <w:bookmarkEnd w:id="34"/>
      <w:r>
        <w:t>Trademarks</w:t>
      </w:r>
      <w:bookmarkEnd w:id="35"/>
    </w:p>
    <w:p w:rsidR="00041C54" w:rsidRPr="009E65A3" w:rsidRDefault="00041C54" w:rsidP="00041C54">
      <w:pPr>
        <w:pStyle w:val="Heading2"/>
      </w:pPr>
      <w:bookmarkStart w:id="36" w:name="_Toc301783563"/>
      <w:r w:rsidRPr="009E65A3">
        <w:t>Trademark Overview</w:t>
      </w:r>
      <w:bookmarkEnd w:id="36"/>
    </w:p>
    <w:p w:rsidR="00041C54" w:rsidRDefault="00041C54" w:rsidP="00041C54">
      <w:pPr>
        <w:pStyle w:val="BodyText"/>
        <w:rPr>
          <w:color w:val="000000"/>
          <w:sz w:val="22"/>
        </w:rPr>
      </w:pPr>
      <w:r>
        <w:rPr>
          <w:color w:val="000000"/>
          <w:sz w:val="22"/>
        </w:rPr>
        <w:t xml:space="preserve">A </w:t>
      </w:r>
      <w:r w:rsidRPr="00850DD4">
        <w:rPr>
          <w:color w:val="000000"/>
          <w:sz w:val="22"/>
        </w:rPr>
        <w:t xml:space="preserve">trademark </w:t>
      </w:r>
      <w:r>
        <w:rPr>
          <w:color w:val="000000"/>
          <w:sz w:val="22"/>
        </w:rPr>
        <w:t xml:space="preserve">is another type of IP which </w:t>
      </w:r>
      <w:r w:rsidRPr="00850DD4">
        <w:rPr>
          <w:color w:val="000000"/>
          <w:sz w:val="22"/>
        </w:rPr>
        <w:t>allow</w:t>
      </w:r>
      <w:r>
        <w:rPr>
          <w:color w:val="000000"/>
          <w:sz w:val="22"/>
        </w:rPr>
        <w:t>s</w:t>
      </w:r>
      <w:r w:rsidRPr="00850DD4">
        <w:rPr>
          <w:color w:val="000000"/>
          <w:sz w:val="22"/>
        </w:rPr>
        <w:t xml:space="preserve"> </w:t>
      </w:r>
      <w:r w:rsidR="007E2491">
        <w:rPr>
          <w:color w:val="000000"/>
          <w:sz w:val="22"/>
        </w:rPr>
        <w:t>customers</w:t>
      </w:r>
      <w:r w:rsidRPr="00850DD4">
        <w:rPr>
          <w:color w:val="000000"/>
          <w:sz w:val="22"/>
        </w:rPr>
        <w:t xml:space="preserve"> </w:t>
      </w:r>
      <w:r w:rsidR="007E2491">
        <w:rPr>
          <w:color w:val="000000"/>
          <w:sz w:val="22"/>
        </w:rPr>
        <w:t xml:space="preserve">or potential customers </w:t>
      </w:r>
      <w:r w:rsidRPr="00850DD4">
        <w:rPr>
          <w:color w:val="000000"/>
          <w:sz w:val="22"/>
        </w:rPr>
        <w:t>to identify a name,</w:t>
      </w:r>
      <w:r>
        <w:rPr>
          <w:color w:val="000000"/>
          <w:sz w:val="22"/>
        </w:rPr>
        <w:t xml:space="preserve"> sound, symbol, or slogan with NetApp</w:t>
      </w:r>
      <w:r w:rsidRPr="00850DD4">
        <w:rPr>
          <w:color w:val="000000"/>
          <w:sz w:val="22"/>
        </w:rPr>
        <w:t xml:space="preserve">. A service mark is the same as a trademark except that it identifies and distinguishes a </w:t>
      </w:r>
      <w:r>
        <w:rPr>
          <w:color w:val="000000"/>
          <w:sz w:val="22"/>
        </w:rPr>
        <w:t xml:space="preserve">NetApp </w:t>
      </w:r>
      <w:r w:rsidRPr="00850DD4">
        <w:rPr>
          <w:color w:val="000000"/>
          <w:sz w:val="22"/>
        </w:rPr>
        <w:t>service rather than a product. The terms “trademark” and “mark” are commonly used to refer to both trademarks and service marks.</w:t>
      </w:r>
    </w:p>
    <w:p w:rsidR="00041C54" w:rsidRDefault="00041C54" w:rsidP="00041C54">
      <w:pPr>
        <w:pStyle w:val="BodyText"/>
        <w:rPr>
          <w:color w:val="000000"/>
          <w:sz w:val="22"/>
        </w:rPr>
      </w:pPr>
      <w:r w:rsidRPr="00850DD4">
        <w:rPr>
          <w:color w:val="000000"/>
          <w:sz w:val="22"/>
        </w:rPr>
        <w:t xml:space="preserve">Rights in trademarks may be used to prevent others from using a </w:t>
      </w:r>
      <w:r w:rsidR="007E2491">
        <w:rPr>
          <w:color w:val="000000"/>
          <w:sz w:val="22"/>
        </w:rPr>
        <w:t>“</w:t>
      </w:r>
      <w:r w:rsidRPr="00850DD4">
        <w:rPr>
          <w:color w:val="000000"/>
          <w:sz w:val="22"/>
        </w:rPr>
        <w:t>confusingly similar</w:t>
      </w:r>
      <w:r w:rsidR="007E2491">
        <w:rPr>
          <w:color w:val="000000"/>
          <w:sz w:val="22"/>
        </w:rPr>
        <w:t>”</w:t>
      </w:r>
      <w:r w:rsidRPr="00850DD4">
        <w:rPr>
          <w:color w:val="000000"/>
          <w:sz w:val="22"/>
        </w:rPr>
        <w:t xml:space="preserve"> mark to sell their products and services. </w:t>
      </w:r>
      <w:r w:rsidR="00DE1B48">
        <w:rPr>
          <w:color w:val="000000"/>
          <w:sz w:val="22"/>
        </w:rPr>
        <w:t>In other words</w:t>
      </w:r>
      <w:r w:rsidRPr="00850DD4">
        <w:rPr>
          <w:color w:val="000000"/>
          <w:sz w:val="22"/>
        </w:rPr>
        <w:t>, a trademark owner may prevent another party from using the same or similar mark</w:t>
      </w:r>
      <w:r>
        <w:rPr>
          <w:color w:val="000000"/>
          <w:sz w:val="22"/>
        </w:rPr>
        <w:t xml:space="preserve"> (whether in sight, sound or meaning) to </w:t>
      </w:r>
      <w:r w:rsidRPr="00850DD4">
        <w:rPr>
          <w:color w:val="000000"/>
          <w:sz w:val="22"/>
        </w:rPr>
        <w:t xml:space="preserve">sell the same or similar product/service. </w:t>
      </w:r>
    </w:p>
    <w:p w:rsidR="00041C54" w:rsidRDefault="00041C54" w:rsidP="00041C54">
      <w:pPr>
        <w:pStyle w:val="BodyText"/>
        <w:rPr>
          <w:sz w:val="22"/>
        </w:rPr>
      </w:pPr>
      <w:r>
        <w:rPr>
          <w:color w:val="000000"/>
          <w:sz w:val="22"/>
        </w:rPr>
        <w:t xml:space="preserve">Similar to copyrights, a trademark right is </w:t>
      </w:r>
      <w:r w:rsidR="00EA0CBE">
        <w:rPr>
          <w:color w:val="000000"/>
          <w:sz w:val="22"/>
        </w:rPr>
        <w:t xml:space="preserve">usually </w:t>
      </w:r>
      <w:r>
        <w:rPr>
          <w:color w:val="000000"/>
          <w:sz w:val="22"/>
        </w:rPr>
        <w:t>country-specific</w:t>
      </w:r>
      <w:r w:rsidR="00D6379C">
        <w:rPr>
          <w:color w:val="000000"/>
          <w:sz w:val="22"/>
        </w:rPr>
        <w:t xml:space="preserve"> and  in most countries, arises upon</w:t>
      </w:r>
      <w:r w:rsidR="00D6379C" w:rsidRPr="00850DD4">
        <w:rPr>
          <w:color w:val="000000"/>
          <w:sz w:val="22"/>
        </w:rPr>
        <w:t xml:space="preserve"> </w:t>
      </w:r>
      <w:r w:rsidR="00D6379C">
        <w:rPr>
          <w:color w:val="000000"/>
          <w:sz w:val="22"/>
        </w:rPr>
        <w:t xml:space="preserve">registration with the country’s central trademark registry. </w:t>
      </w:r>
      <w:r w:rsidR="00D6379C" w:rsidRPr="00D6379C">
        <w:rPr>
          <w:color w:val="000000"/>
          <w:sz w:val="22"/>
        </w:rPr>
        <w:t>In the EU a</w:t>
      </w:r>
      <w:r w:rsidR="00D6379C" w:rsidRPr="00D6379C">
        <w:rPr>
          <w:sz w:val="22"/>
        </w:rPr>
        <w:t xml:space="preserve"> party can </w:t>
      </w:r>
      <w:r w:rsidR="00B83EB3">
        <w:rPr>
          <w:sz w:val="22"/>
        </w:rPr>
        <w:t xml:space="preserve">apply for a single </w:t>
      </w:r>
      <w:r w:rsidR="00D6379C" w:rsidRPr="00D6379C">
        <w:rPr>
          <w:sz w:val="22"/>
        </w:rPr>
        <w:t xml:space="preserve">Community Trade Mark (CTM) </w:t>
      </w:r>
      <w:r w:rsidR="00B83EB3">
        <w:rPr>
          <w:sz w:val="22"/>
        </w:rPr>
        <w:t xml:space="preserve">which if granted is </w:t>
      </w:r>
      <w:r w:rsidR="00D6379C">
        <w:rPr>
          <w:sz w:val="22"/>
        </w:rPr>
        <w:t xml:space="preserve">valid </w:t>
      </w:r>
      <w:r w:rsidR="00B83EB3">
        <w:rPr>
          <w:sz w:val="22"/>
        </w:rPr>
        <w:t xml:space="preserve">throughout all countries in the </w:t>
      </w:r>
      <w:r w:rsidR="00D6379C">
        <w:rPr>
          <w:sz w:val="22"/>
        </w:rPr>
        <w:t>EU on t</w:t>
      </w:r>
      <w:r w:rsidR="00D6379C" w:rsidRPr="00D6379C">
        <w:rPr>
          <w:sz w:val="22"/>
        </w:rPr>
        <w:t>he same legal basis as a trade mark registered in the national Trade Mark office of that EU country.</w:t>
      </w:r>
      <w:r w:rsidR="003C0227">
        <w:rPr>
          <w:sz w:val="22"/>
        </w:rPr>
        <w:t xml:space="preserve"> </w:t>
      </w:r>
      <w:r>
        <w:rPr>
          <w:color w:val="000000"/>
          <w:sz w:val="22"/>
        </w:rPr>
        <w:t xml:space="preserve">In </w:t>
      </w:r>
      <w:r w:rsidR="00EA0CBE">
        <w:rPr>
          <w:color w:val="000000"/>
          <w:sz w:val="22"/>
        </w:rPr>
        <w:t>common law cou</w:t>
      </w:r>
      <w:r w:rsidR="00D6379C">
        <w:rPr>
          <w:color w:val="000000"/>
          <w:sz w:val="22"/>
        </w:rPr>
        <w:t>n</w:t>
      </w:r>
      <w:r w:rsidR="00EA0CBE">
        <w:rPr>
          <w:color w:val="000000"/>
          <w:sz w:val="22"/>
        </w:rPr>
        <w:t xml:space="preserve">tries like Australia, UK and  </w:t>
      </w:r>
      <w:r>
        <w:rPr>
          <w:color w:val="000000"/>
          <w:sz w:val="22"/>
        </w:rPr>
        <w:t xml:space="preserve">the United States, however, commercial </w:t>
      </w:r>
      <w:r w:rsidRPr="00850DD4">
        <w:rPr>
          <w:color w:val="000000"/>
          <w:sz w:val="22"/>
        </w:rPr>
        <w:t>use of a mark</w:t>
      </w:r>
      <w:r>
        <w:rPr>
          <w:color w:val="000000"/>
          <w:sz w:val="22"/>
        </w:rPr>
        <w:t xml:space="preserve"> alone may</w:t>
      </w:r>
      <w:r w:rsidRPr="00850DD4">
        <w:rPr>
          <w:color w:val="000000"/>
          <w:sz w:val="22"/>
        </w:rPr>
        <w:t xml:space="preserve"> confer </w:t>
      </w:r>
      <w:r w:rsidR="00DE1B48">
        <w:rPr>
          <w:color w:val="000000"/>
          <w:sz w:val="22"/>
        </w:rPr>
        <w:t>certain</w:t>
      </w:r>
      <w:r>
        <w:rPr>
          <w:color w:val="000000"/>
          <w:sz w:val="22"/>
        </w:rPr>
        <w:t xml:space="preserve"> </w:t>
      </w:r>
      <w:r w:rsidRPr="00850DD4">
        <w:rPr>
          <w:color w:val="000000"/>
          <w:sz w:val="22"/>
        </w:rPr>
        <w:t>trademark rights</w:t>
      </w:r>
      <w:r w:rsidR="00EA0CBE">
        <w:rPr>
          <w:color w:val="000000"/>
          <w:sz w:val="22"/>
        </w:rPr>
        <w:t xml:space="preserve"> but i</w:t>
      </w:r>
      <w:r w:rsidR="00EA0CBE" w:rsidRPr="00EA0CBE">
        <w:rPr>
          <w:sz w:val="22"/>
        </w:rPr>
        <w:t xml:space="preserve">t is advisable to register </w:t>
      </w:r>
      <w:r w:rsidR="00D6379C">
        <w:rPr>
          <w:sz w:val="22"/>
        </w:rPr>
        <w:t xml:space="preserve">the mark </w:t>
      </w:r>
      <w:r w:rsidR="00EA0CBE" w:rsidRPr="00EA0CBE">
        <w:rPr>
          <w:sz w:val="22"/>
        </w:rPr>
        <w:t xml:space="preserve">because </w:t>
      </w:r>
      <w:r w:rsidR="00D6379C">
        <w:rPr>
          <w:sz w:val="22"/>
        </w:rPr>
        <w:t xml:space="preserve">a </w:t>
      </w:r>
      <w:r w:rsidR="00EA0CBE" w:rsidRPr="00EA0CBE">
        <w:rPr>
          <w:sz w:val="22"/>
        </w:rPr>
        <w:t xml:space="preserve">registered mark </w:t>
      </w:r>
      <w:r w:rsidR="00EA0CBE">
        <w:rPr>
          <w:sz w:val="22"/>
        </w:rPr>
        <w:t xml:space="preserve">confers upon the </w:t>
      </w:r>
      <w:r w:rsidR="00EA0CBE" w:rsidRPr="00EA0CBE">
        <w:rPr>
          <w:sz w:val="22"/>
        </w:rPr>
        <w:t xml:space="preserve">owner </w:t>
      </w:r>
      <w:r w:rsidR="00EA0CBE">
        <w:rPr>
          <w:sz w:val="22"/>
        </w:rPr>
        <w:t xml:space="preserve">a </w:t>
      </w:r>
      <w:r w:rsidR="00EA0CBE" w:rsidRPr="00EA0CBE">
        <w:rPr>
          <w:sz w:val="22"/>
        </w:rPr>
        <w:t>presumption of ownership and validity</w:t>
      </w:r>
      <w:r w:rsidR="00B83EB3">
        <w:rPr>
          <w:sz w:val="22"/>
        </w:rPr>
        <w:t>,</w:t>
      </w:r>
      <w:r w:rsidR="00D6379C">
        <w:rPr>
          <w:sz w:val="22"/>
        </w:rPr>
        <w:t xml:space="preserve"> and it is </w:t>
      </w:r>
      <w:r w:rsidR="00B83EB3">
        <w:rPr>
          <w:sz w:val="22"/>
        </w:rPr>
        <w:t xml:space="preserve">usually </w:t>
      </w:r>
      <w:r w:rsidR="00D6379C">
        <w:rPr>
          <w:sz w:val="22"/>
        </w:rPr>
        <w:t>quicker, and cheaper to protect</w:t>
      </w:r>
      <w:r w:rsidR="00B83EB3">
        <w:rPr>
          <w:sz w:val="22"/>
        </w:rPr>
        <w:t xml:space="preserve"> one’s ownership by </w:t>
      </w:r>
      <w:r w:rsidR="00D6379C">
        <w:rPr>
          <w:sz w:val="22"/>
        </w:rPr>
        <w:t>bringing a trade mark infringement action rather than having to initiate a passing off action. Also, u</w:t>
      </w:r>
      <w:r w:rsidR="00EA0CBE">
        <w:rPr>
          <w:sz w:val="22"/>
        </w:rPr>
        <w:t xml:space="preserve">nregistered marks </w:t>
      </w:r>
      <w:r w:rsidR="00EA0CBE" w:rsidRPr="00EA0CBE">
        <w:rPr>
          <w:sz w:val="22"/>
        </w:rPr>
        <w:t xml:space="preserve">extend only to the geographical area in which the mark is used and </w:t>
      </w:r>
      <w:r w:rsidR="00D6379C">
        <w:rPr>
          <w:sz w:val="22"/>
        </w:rPr>
        <w:t xml:space="preserve">is </w:t>
      </w:r>
      <w:r w:rsidR="00EA0CBE" w:rsidRPr="00EA0CBE">
        <w:rPr>
          <w:sz w:val="22"/>
        </w:rPr>
        <w:t xml:space="preserve">known by consumers. </w:t>
      </w:r>
    </w:p>
    <w:p w:rsidR="00041C54" w:rsidRPr="00EA6F44" w:rsidRDefault="00041C54" w:rsidP="00041C54">
      <w:pPr>
        <w:pStyle w:val="Heading2"/>
      </w:pPr>
      <w:bookmarkStart w:id="37" w:name="_Toc301783564"/>
      <w:r w:rsidRPr="009E65A3">
        <w:t>PROPER USAGE</w:t>
      </w:r>
      <w:r w:rsidR="00EE25D4">
        <w:t xml:space="preserve"> of trademarks</w:t>
      </w:r>
      <w:bookmarkEnd w:id="37"/>
    </w:p>
    <w:p w:rsidR="00041C54" w:rsidRDefault="00041C54" w:rsidP="00041C54">
      <w:pPr>
        <w:pStyle w:val="BodyText"/>
        <w:rPr>
          <w:color w:val="000000"/>
          <w:sz w:val="22"/>
        </w:rPr>
      </w:pPr>
      <w:r w:rsidRPr="002601EF">
        <w:rPr>
          <w:color w:val="000000"/>
          <w:sz w:val="22"/>
        </w:rPr>
        <w:t xml:space="preserve">Proper use of a trademark is </w:t>
      </w:r>
      <w:r>
        <w:rPr>
          <w:color w:val="000000"/>
          <w:sz w:val="22"/>
        </w:rPr>
        <w:t>critical</w:t>
      </w:r>
      <w:r w:rsidRPr="002601EF">
        <w:rPr>
          <w:color w:val="000000"/>
          <w:sz w:val="22"/>
        </w:rPr>
        <w:t xml:space="preserve"> to establish and maintain </w:t>
      </w:r>
      <w:r>
        <w:rPr>
          <w:color w:val="000000"/>
          <w:sz w:val="22"/>
        </w:rPr>
        <w:t xml:space="preserve">NetApp </w:t>
      </w:r>
      <w:r w:rsidRPr="002601EF">
        <w:rPr>
          <w:color w:val="000000"/>
          <w:sz w:val="22"/>
        </w:rPr>
        <w:t xml:space="preserve">trademark rights. </w:t>
      </w:r>
      <w:r>
        <w:rPr>
          <w:color w:val="000000"/>
          <w:sz w:val="22"/>
        </w:rPr>
        <w:t>A</w:t>
      </w:r>
      <w:r w:rsidRPr="002601EF">
        <w:rPr>
          <w:color w:val="000000"/>
          <w:sz w:val="22"/>
        </w:rPr>
        <w:t xml:space="preserve"> trademark can be weakened through the public’s or even a company’s own misuse. </w:t>
      </w:r>
      <w:r w:rsidR="00B00E34">
        <w:rPr>
          <w:color w:val="000000"/>
          <w:sz w:val="22"/>
        </w:rPr>
        <w:t xml:space="preserve">In particular, </w:t>
      </w:r>
      <w:r w:rsidRPr="002601EF">
        <w:rPr>
          <w:color w:val="000000"/>
          <w:sz w:val="22"/>
        </w:rPr>
        <w:t>a trademark can be lost entirely if the trademark becomes generic (e.g., KLEENEX, ESCALATOR, YO-Y</w:t>
      </w:r>
      <w:r>
        <w:rPr>
          <w:color w:val="000000"/>
          <w:sz w:val="22"/>
        </w:rPr>
        <w:t xml:space="preserve">O) </w:t>
      </w:r>
      <w:r w:rsidR="00B00E34">
        <w:rPr>
          <w:color w:val="000000"/>
          <w:sz w:val="22"/>
        </w:rPr>
        <w:t>by using</w:t>
      </w:r>
      <w:r>
        <w:rPr>
          <w:color w:val="000000"/>
          <w:sz w:val="22"/>
        </w:rPr>
        <w:t xml:space="preserve"> the trademark </w:t>
      </w:r>
      <w:r w:rsidRPr="002601EF">
        <w:rPr>
          <w:color w:val="000000"/>
          <w:sz w:val="22"/>
        </w:rPr>
        <w:t xml:space="preserve">as a </w:t>
      </w:r>
      <w:r w:rsidR="002132F3" w:rsidRPr="002132F3">
        <w:rPr>
          <w:i/>
          <w:color w:val="000000"/>
          <w:sz w:val="22"/>
        </w:rPr>
        <w:t>formal name</w:t>
      </w:r>
      <w:r w:rsidRPr="002601EF">
        <w:rPr>
          <w:color w:val="000000"/>
          <w:sz w:val="22"/>
        </w:rPr>
        <w:t xml:space="preserve"> for </w:t>
      </w:r>
      <w:r w:rsidR="00B00E34">
        <w:rPr>
          <w:color w:val="000000"/>
          <w:sz w:val="22"/>
        </w:rPr>
        <w:t>a</w:t>
      </w:r>
      <w:r w:rsidRPr="002601EF">
        <w:rPr>
          <w:color w:val="000000"/>
          <w:sz w:val="22"/>
        </w:rPr>
        <w:t xml:space="preserve"> </w:t>
      </w:r>
      <w:r w:rsidRPr="00EC68AB">
        <w:rPr>
          <w:i/>
          <w:color w:val="000000"/>
          <w:sz w:val="22"/>
        </w:rPr>
        <w:t>type</w:t>
      </w:r>
      <w:r w:rsidRPr="002601EF">
        <w:rPr>
          <w:color w:val="000000"/>
          <w:sz w:val="22"/>
        </w:rPr>
        <w:t xml:space="preserve"> of product/service. Consistent use of, strict control over, and continued policing of how the trademark is used will serve to maintain and increase the strength of a trademark. </w:t>
      </w:r>
    </w:p>
    <w:p w:rsidR="00760BDE" w:rsidRDefault="00760BDE" w:rsidP="00041C54">
      <w:pPr>
        <w:pStyle w:val="BodyText"/>
        <w:rPr>
          <w:color w:val="000000"/>
          <w:sz w:val="22"/>
        </w:rPr>
      </w:pP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041C54" w:rsidTr="001A6394">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041C54" w:rsidRPr="008A053E" w:rsidRDefault="00041C54" w:rsidP="001A6394">
            <w:pPr>
              <w:pStyle w:val="TableHeading"/>
            </w:pPr>
            <w:r w:rsidRPr="008A053E">
              <w:t>Best Practice</w:t>
            </w:r>
          </w:p>
        </w:tc>
      </w:tr>
      <w:tr w:rsidR="00041C54" w:rsidTr="001A6394">
        <w:trPr>
          <w:cantSplit/>
        </w:trPr>
        <w:tc>
          <w:tcPr>
            <w:tcW w:w="8741" w:type="dxa"/>
          </w:tcPr>
          <w:p w:rsidR="00041C54" w:rsidRDefault="00041C54" w:rsidP="00B00E34">
            <w:pPr>
              <w:pStyle w:val="BodyText"/>
            </w:pPr>
            <w:r w:rsidRPr="00C9321F">
              <w:t xml:space="preserve">Proper use of a </w:t>
            </w:r>
            <w:r>
              <w:t xml:space="preserve">NetApp </w:t>
            </w:r>
            <w:r w:rsidRPr="00C9321F">
              <w:t xml:space="preserve">trademark will clarify that the mark is a brand (e.g., used as an </w:t>
            </w:r>
            <w:r w:rsidR="002132F3" w:rsidRPr="002132F3">
              <w:rPr>
                <w:b/>
              </w:rPr>
              <w:t>adjective</w:t>
            </w:r>
            <w:r w:rsidRPr="00C9321F">
              <w:t xml:space="preserve">) and not a </w:t>
            </w:r>
            <w:r w:rsidR="00B00E34">
              <w:t>name</w:t>
            </w:r>
            <w:r w:rsidRPr="00C9321F">
              <w:t xml:space="preserve"> of product (e.g., used as a </w:t>
            </w:r>
            <w:r w:rsidR="002132F3" w:rsidRPr="002132F3">
              <w:rPr>
                <w:b/>
              </w:rPr>
              <w:t>noun</w:t>
            </w:r>
            <w:r w:rsidRPr="00C9321F">
              <w:t>). Refer to the NetApp Trademark List (</w:t>
            </w:r>
            <w:hyperlink r:id="rId15" w:history="1">
              <w:r w:rsidR="00B00E34" w:rsidRPr="00E843DE">
                <w:rPr>
                  <w:rStyle w:val="Hyperlink"/>
                </w:rPr>
                <w:t>http://www.netapp.com/us/site/netapptmlist.html</w:t>
              </w:r>
            </w:hyperlink>
            <w:r w:rsidRPr="00C9321F">
              <w:t>)</w:t>
            </w:r>
            <w:r w:rsidR="00B00E34">
              <w:t xml:space="preserve"> </w:t>
            </w:r>
            <w:r>
              <w:t>and</w:t>
            </w:r>
            <w:r w:rsidRPr="00C9321F">
              <w:t xml:space="preserve"> Guidelines for Using NetApp Trademarks (</w:t>
            </w:r>
            <w:hyperlink r:id="rId16" w:history="1">
              <w:r w:rsidR="00B00E34" w:rsidRPr="00E843DE">
                <w:rPr>
                  <w:rStyle w:val="Hyperlink"/>
                </w:rPr>
                <w:t>http://www.netapp.com/us/site/tmguidelines.html</w:t>
              </w:r>
            </w:hyperlink>
            <w:r w:rsidR="00B00E34">
              <w:t>)</w:t>
            </w:r>
            <w:r w:rsidRPr="00C9321F">
              <w:t xml:space="preserve"> for </w:t>
            </w:r>
            <w:r>
              <w:t>additional</w:t>
            </w:r>
            <w:r w:rsidRPr="00C9321F">
              <w:t xml:space="preserve"> </w:t>
            </w:r>
            <w:r>
              <w:t>information</w:t>
            </w:r>
            <w:r w:rsidRPr="00C9321F">
              <w:t xml:space="preserve"> on using NetApp trademarks.</w:t>
            </w:r>
          </w:p>
        </w:tc>
      </w:tr>
    </w:tbl>
    <w:p w:rsidR="00041C54" w:rsidRPr="00EA6F44" w:rsidRDefault="00041C54" w:rsidP="00041C54">
      <w:pPr>
        <w:pStyle w:val="Heading2"/>
      </w:pPr>
      <w:bookmarkStart w:id="38" w:name="_Toc301783565"/>
      <w:r w:rsidRPr="009E65A3">
        <w:t xml:space="preserve">Trademark </w:t>
      </w:r>
      <w:r w:rsidR="00EE25D4">
        <w:t>symbols</w:t>
      </w:r>
      <w:bookmarkEnd w:id="38"/>
      <w:r w:rsidRPr="009E65A3">
        <w:t xml:space="preserve"> </w:t>
      </w:r>
    </w:p>
    <w:p w:rsidR="00041C54" w:rsidRDefault="00041C54" w:rsidP="00041C54">
      <w:pPr>
        <w:pStyle w:val="BodyText"/>
        <w:rPr>
          <w:color w:val="000000"/>
          <w:sz w:val="22"/>
        </w:rPr>
      </w:pPr>
      <w:r>
        <w:rPr>
          <w:color w:val="000000"/>
          <w:sz w:val="22"/>
        </w:rPr>
        <w:t xml:space="preserve">In the U.S., a trademark symbol or trademark notice may be used in connection with a mark to provide notice of </w:t>
      </w:r>
      <w:r w:rsidR="00B00E34">
        <w:rPr>
          <w:color w:val="000000"/>
          <w:sz w:val="22"/>
        </w:rPr>
        <w:t xml:space="preserve">a </w:t>
      </w:r>
      <w:r>
        <w:rPr>
          <w:color w:val="000000"/>
          <w:sz w:val="22"/>
        </w:rPr>
        <w:t>trademark</w:t>
      </w:r>
      <w:r w:rsidR="00B00E34">
        <w:rPr>
          <w:color w:val="000000"/>
          <w:sz w:val="22"/>
        </w:rPr>
        <w:t>’s owners</w:t>
      </w:r>
      <w:r>
        <w:rPr>
          <w:color w:val="000000"/>
          <w:sz w:val="22"/>
        </w:rPr>
        <w:t xml:space="preserve"> rights </w:t>
      </w:r>
      <w:r w:rsidR="00B00E34">
        <w:rPr>
          <w:color w:val="000000"/>
          <w:sz w:val="22"/>
        </w:rPr>
        <w:t>to</w:t>
      </w:r>
      <w:r>
        <w:rPr>
          <w:color w:val="000000"/>
          <w:sz w:val="22"/>
        </w:rPr>
        <w:t xml:space="preserve"> a </w:t>
      </w:r>
      <w:r w:rsidR="00B00E34">
        <w:rPr>
          <w:color w:val="000000"/>
          <w:sz w:val="22"/>
        </w:rPr>
        <w:t xml:space="preserve">particular </w:t>
      </w:r>
      <w:r>
        <w:rPr>
          <w:color w:val="000000"/>
          <w:sz w:val="22"/>
        </w:rPr>
        <w:t>mark.  T</w:t>
      </w:r>
      <w:r w:rsidRPr="002601EF">
        <w:rPr>
          <w:color w:val="000000"/>
          <w:sz w:val="22"/>
        </w:rPr>
        <w:t xml:space="preserve">he </w:t>
      </w:r>
      <w:r w:rsidRPr="002601EF">
        <w:rPr>
          <w:color w:val="000000"/>
          <w:sz w:val="22"/>
          <w:vertAlign w:val="superscript"/>
        </w:rPr>
        <w:t>TM</w:t>
      </w:r>
      <w:r w:rsidRPr="002601EF">
        <w:rPr>
          <w:color w:val="000000"/>
          <w:sz w:val="22"/>
        </w:rPr>
        <w:t xml:space="preserve"> (trademark) or </w:t>
      </w:r>
      <w:r w:rsidRPr="002601EF">
        <w:rPr>
          <w:color w:val="000000"/>
          <w:sz w:val="22"/>
          <w:vertAlign w:val="superscript"/>
        </w:rPr>
        <w:t>SM</w:t>
      </w:r>
      <w:r w:rsidRPr="002601EF">
        <w:rPr>
          <w:color w:val="000000"/>
          <w:sz w:val="22"/>
        </w:rPr>
        <w:t xml:space="preserve"> (service mark) </w:t>
      </w:r>
      <w:r>
        <w:rPr>
          <w:color w:val="000000"/>
          <w:sz w:val="22"/>
        </w:rPr>
        <w:t xml:space="preserve">symbols may be used </w:t>
      </w:r>
      <w:r w:rsidRPr="002601EF">
        <w:rPr>
          <w:color w:val="000000"/>
          <w:sz w:val="22"/>
        </w:rPr>
        <w:t>regardless of whether a trademark application</w:t>
      </w:r>
      <w:r>
        <w:rPr>
          <w:color w:val="000000"/>
          <w:sz w:val="22"/>
        </w:rPr>
        <w:t xml:space="preserve"> has been filed</w:t>
      </w:r>
      <w:r w:rsidRPr="002601EF">
        <w:rPr>
          <w:color w:val="000000"/>
          <w:sz w:val="22"/>
        </w:rPr>
        <w:t xml:space="preserve">. </w:t>
      </w:r>
      <w:r>
        <w:rPr>
          <w:color w:val="000000"/>
          <w:sz w:val="22"/>
        </w:rPr>
        <w:t xml:space="preserve">Once a trademark is registered, however, the ® (registration) symbol should be used. </w:t>
      </w:r>
    </w:p>
    <w:p w:rsidR="00041C54" w:rsidRDefault="00041C54" w:rsidP="00B31B21">
      <w:pPr>
        <w:pStyle w:val="Note"/>
        <w:numPr>
          <w:ilvl w:val="8"/>
          <w:numId w:val="6"/>
        </w:numPr>
      </w:pPr>
      <w:r>
        <w:t xml:space="preserve">The </w:t>
      </w:r>
      <w:r w:rsidRPr="002601EF">
        <w:rPr>
          <w:color w:val="000000"/>
          <w:sz w:val="22"/>
          <w:vertAlign w:val="superscript"/>
        </w:rPr>
        <w:t>TM</w:t>
      </w:r>
      <w:r>
        <w:t xml:space="preserve">, </w:t>
      </w:r>
      <w:r w:rsidRPr="002601EF">
        <w:rPr>
          <w:color w:val="000000"/>
          <w:sz w:val="22"/>
          <w:vertAlign w:val="superscript"/>
        </w:rPr>
        <w:t>SM</w:t>
      </w:r>
      <w:r>
        <w:t xml:space="preserve">, and </w:t>
      </w:r>
      <w:r>
        <w:rPr>
          <w:color w:val="000000"/>
          <w:sz w:val="22"/>
        </w:rPr>
        <w:t>®</w:t>
      </w:r>
      <w:r>
        <w:t xml:space="preserve"> symbols</w:t>
      </w:r>
      <w:r w:rsidRPr="00EC68AB">
        <w:t xml:space="preserve"> are </w:t>
      </w:r>
      <w:r w:rsidRPr="0046793E">
        <w:t>not</w:t>
      </w:r>
      <w:r w:rsidRPr="00EC68AB">
        <w:t xml:space="preserve"> recognized outside the U.S., so a trademark notice must accompany all works which </w:t>
      </w:r>
      <w:r>
        <w:t>include</w:t>
      </w:r>
      <w:r w:rsidRPr="00EC68AB">
        <w:t xml:space="preserve"> a NetApp trademark</w:t>
      </w:r>
      <w:r w:rsidRPr="003E153F">
        <w:t xml:space="preserve">. </w:t>
      </w:r>
    </w:p>
    <w:p w:rsidR="00041C54" w:rsidRPr="00B00E34" w:rsidRDefault="002132F3" w:rsidP="00041C54">
      <w:pPr>
        <w:pStyle w:val="BodyText"/>
        <w:rPr>
          <w:color w:val="000000"/>
          <w:sz w:val="22"/>
        </w:rPr>
      </w:pPr>
      <w:r w:rsidRPr="002132F3">
        <w:rPr>
          <w:color w:val="000000"/>
          <w:sz w:val="22"/>
        </w:rPr>
        <w:t>Requests for review of proper trademark markings and notices may be submitted to Corporate Editorial Services (dl-editorial).</w:t>
      </w:r>
    </w:p>
    <w:p w:rsidR="00041C54" w:rsidRPr="00EA6F44" w:rsidRDefault="00041C54" w:rsidP="00041C54">
      <w:pPr>
        <w:pStyle w:val="Heading2"/>
      </w:pPr>
      <w:bookmarkStart w:id="39" w:name="_Toc301783566"/>
      <w:r w:rsidRPr="009E65A3">
        <w:t>Trademark Notice</w:t>
      </w:r>
      <w:bookmarkEnd w:id="39"/>
      <w:r w:rsidRPr="009E65A3">
        <w:t xml:space="preserve"> </w:t>
      </w:r>
    </w:p>
    <w:p w:rsidR="00041C54" w:rsidRPr="000E5E26" w:rsidRDefault="00041C54" w:rsidP="00041C54">
      <w:pPr>
        <w:pStyle w:val="BodyText"/>
        <w:rPr>
          <w:rFonts w:ascii="Times New Roman" w:hAnsi="Times New Roman"/>
          <w:b/>
          <w:bCs/>
        </w:rPr>
      </w:pPr>
      <w:r>
        <w:rPr>
          <w:color w:val="000000"/>
          <w:sz w:val="22"/>
        </w:rPr>
        <w:t>T</w:t>
      </w:r>
      <w:r w:rsidRPr="00D37245">
        <w:rPr>
          <w:color w:val="000000"/>
          <w:sz w:val="22"/>
        </w:rPr>
        <w:t xml:space="preserve">he NetApp </w:t>
      </w:r>
      <w:r>
        <w:rPr>
          <w:color w:val="000000"/>
          <w:sz w:val="22"/>
        </w:rPr>
        <w:t>trademark</w:t>
      </w:r>
      <w:r w:rsidRPr="00D37245">
        <w:rPr>
          <w:color w:val="000000"/>
          <w:sz w:val="22"/>
        </w:rPr>
        <w:t xml:space="preserve"> notice should appear as follows:</w:t>
      </w:r>
    </w:p>
    <w:p w:rsidR="00041C54" w:rsidRPr="00271760" w:rsidRDefault="00041C54" w:rsidP="00041C54">
      <w:pPr>
        <w:autoSpaceDE w:val="0"/>
        <w:autoSpaceDN w:val="0"/>
        <w:adjustRightInd w:val="0"/>
        <w:spacing w:after="0"/>
        <w:rPr>
          <w:rFonts w:ascii="Times New Roman" w:hAnsi="Times New Roman"/>
          <w:b/>
          <w:bCs/>
        </w:rPr>
      </w:pPr>
      <w:r w:rsidRPr="006830E5">
        <w:rPr>
          <w:rFonts w:ascii="Times New Roman" w:hAnsi="Times New Roman"/>
          <w:b/>
          <w:bCs/>
        </w:rPr>
        <w:t xml:space="preserve">   </w:t>
      </w: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041C54" w:rsidTr="001A6394">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041C54" w:rsidRPr="008A053E" w:rsidRDefault="00041C54" w:rsidP="001A6394">
            <w:pPr>
              <w:pStyle w:val="TableHeading"/>
            </w:pPr>
            <w:r w:rsidRPr="008A053E">
              <w:t>Best Practice</w:t>
            </w:r>
          </w:p>
        </w:tc>
      </w:tr>
      <w:tr w:rsidR="00041C54" w:rsidTr="001A6394">
        <w:trPr>
          <w:cantSplit/>
        </w:trPr>
        <w:tc>
          <w:tcPr>
            <w:tcW w:w="8741" w:type="dxa"/>
          </w:tcPr>
          <w:p w:rsidR="00041C54" w:rsidRDefault="00041C54" w:rsidP="001A6394">
            <w:pPr>
              <w:pStyle w:val="BodyText"/>
            </w:pPr>
            <w:r>
              <w:t>NetApp, the NetApp logo and Go Further, Faster are trademarks or registered trademarks of NetApp, Inc. in the United States and/or other countries.</w:t>
            </w:r>
          </w:p>
        </w:tc>
      </w:tr>
    </w:tbl>
    <w:p w:rsidR="00041C54" w:rsidRDefault="00041C54" w:rsidP="00041C54">
      <w:pPr>
        <w:rPr>
          <w:rFonts w:ascii="Times New Roman" w:hAnsi="Times New Roman"/>
        </w:rPr>
      </w:pPr>
    </w:p>
    <w:p w:rsidR="00041C54" w:rsidRDefault="00041C54" w:rsidP="00B31B21">
      <w:pPr>
        <w:pStyle w:val="Note"/>
        <w:numPr>
          <w:ilvl w:val="8"/>
          <w:numId w:val="6"/>
        </w:numPr>
      </w:pPr>
      <w:r w:rsidRPr="00281B6C">
        <w:t xml:space="preserve">If additional NetApp trademarks appear in a work, such additional trademarks should be accompanied by the proper trademark symbol and/or included in the trademark notice. </w:t>
      </w:r>
    </w:p>
    <w:p w:rsidR="001C0F50" w:rsidRDefault="002132F3" w:rsidP="001C0F50">
      <w:pPr>
        <w:pStyle w:val="BodyText"/>
        <w:ind w:left="720"/>
      </w:pPr>
      <w:r w:rsidRPr="002132F3">
        <w:rPr>
          <w:u w:val="single"/>
        </w:rPr>
        <w:t>Example</w:t>
      </w:r>
      <w:r w:rsidR="00B00E34">
        <w:t>:  Where [X] is a NetApp trademark and used in a documentation, the following trademark notice applies:  “NetApp, the NetApp logo, Go Further, Faster, and XXX are trademarks or registered trademarks of NetApp, Inc. in the United States and/or other countries.”</w:t>
      </w:r>
    </w:p>
    <w:p w:rsidR="00041C54" w:rsidRPr="00907CF9" w:rsidRDefault="00041C54" w:rsidP="00B31B21">
      <w:pPr>
        <w:pStyle w:val="Heading1"/>
        <w:numPr>
          <w:ilvl w:val="0"/>
          <w:numId w:val="10"/>
        </w:numPr>
      </w:pPr>
      <w:bookmarkStart w:id="40" w:name="_Toc301531216"/>
      <w:bookmarkStart w:id="41" w:name="_Toc301783567"/>
      <w:r w:rsidRPr="00907CF9">
        <w:t>Open Source</w:t>
      </w:r>
      <w:bookmarkEnd w:id="40"/>
      <w:bookmarkEnd w:id="41"/>
      <w:r w:rsidRPr="00907CF9">
        <w:t xml:space="preserve"> </w:t>
      </w:r>
    </w:p>
    <w:p w:rsidR="001C0F50" w:rsidRDefault="001C0F50" w:rsidP="001C0F50">
      <w:pPr>
        <w:autoSpaceDE w:val="0"/>
        <w:autoSpaceDN w:val="0"/>
        <w:adjustRightInd w:val="0"/>
        <w:spacing w:after="0"/>
        <w:ind w:firstLine="360"/>
        <w:rPr>
          <w:b/>
          <w:sz w:val="22"/>
          <w:szCs w:val="22"/>
        </w:rPr>
      </w:pPr>
    </w:p>
    <w:p w:rsidR="00F9252B" w:rsidRDefault="001C0F50" w:rsidP="004148B4">
      <w:pPr>
        <w:autoSpaceDE w:val="0"/>
        <w:autoSpaceDN w:val="0"/>
        <w:adjustRightInd w:val="0"/>
        <w:spacing w:after="0"/>
      </w:pPr>
      <w:r w:rsidRPr="001C0F50">
        <w:rPr>
          <w:b/>
          <w:sz w:val="22"/>
          <w:szCs w:val="22"/>
        </w:rPr>
        <w:t>OPEN SOURCE OVERVIEW</w:t>
      </w:r>
      <w:r w:rsidR="00F9252B" w:rsidRPr="00F9252B">
        <w:t xml:space="preserve"> </w:t>
      </w:r>
    </w:p>
    <w:p w:rsidR="001C0F50" w:rsidRDefault="001C0F50" w:rsidP="001C0F50">
      <w:pPr>
        <w:autoSpaceDE w:val="0"/>
        <w:autoSpaceDN w:val="0"/>
        <w:adjustRightInd w:val="0"/>
        <w:spacing w:after="0"/>
        <w:ind w:firstLine="360"/>
      </w:pPr>
    </w:p>
    <w:p w:rsidR="008212A9" w:rsidRPr="008212A9" w:rsidRDefault="001C0F50" w:rsidP="008212A9">
      <w:pPr>
        <w:pStyle w:val="BodyText"/>
        <w:rPr>
          <w:rFonts w:cs="Arial"/>
          <w:sz w:val="22"/>
        </w:rPr>
      </w:pPr>
      <w:r w:rsidRPr="001C0F50">
        <w:rPr>
          <w:sz w:val="22"/>
        </w:rPr>
        <w:t xml:space="preserve">Some NetApp products include software that is publicly available under an open source, public source or freeware software license (“Open Source”). </w:t>
      </w:r>
      <w:r w:rsidRPr="001C0F50">
        <w:rPr>
          <w:rFonts w:cs="Arial"/>
          <w:sz w:val="22"/>
        </w:rPr>
        <w:t xml:space="preserve">NetApp products that include Open Source code are distributed under the licensing terms and conditions attributable to the Open Source code.  </w:t>
      </w:r>
    </w:p>
    <w:p w:rsidR="008212A9" w:rsidRPr="008212A9" w:rsidRDefault="001C0F50" w:rsidP="008212A9">
      <w:pPr>
        <w:pStyle w:val="BodyText"/>
        <w:rPr>
          <w:rFonts w:cs="Arial"/>
          <w:sz w:val="22"/>
        </w:rPr>
      </w:pPr>
      <w:r w:rsidRPr="001C0F50">
        <w:rPr>
          <w:rFonts w:cs="Arial"/>
          <w:sz w:val="22"/>
        </w:rPr>
        <w:t>The Copyright notices and licensing terms and conditions for a particular piece of Open Source code must be compiled and incorporated into a NOTICE</w:t>
      </w:r>
      <w:r w:rsidR="00CA2119">
        <w:rPr>
          <w:rFonts w:cs="Arial"/>
          <w:sz w:val="22"/>
        </w:rPr>
        <w:t xml:space="preserve"> </w:t>
      </w:r>
      <w:r w:rsidRPr="001C0F50">
        <w:rPr>
          <w:rFonts w:cs="Arial"/>
          <w:sz w:val="22"/>
        </w:rPr>
        <w:t xml:space="preserve">file by the NetApp Information Engineering (IE) team. </w:t>
      </w:r>
    </w:p>
    <w:p w:rsidR="001C0F50" w:rsidRPr="001C0F50" w:rsidRDefault="001C0F50" w:rsidP="001C0F50">
      <w:pPr>
        <w:pStyle w:val="BodyText"/>
        <w:rPr>
          <w:rFonts w:ascii="Times New Roman" w:hAnsi="Times New Roman"/>
          <w:color w:val="000000"/>
          <w:sz w:val="22"/>
        </w:rPr>
      </w:pPr>
      <w:r w:rsidRPr="001C0F50">
        <w:rPr>
          <w:rFonts w:cs="Arial"/>
          <w:sz w:val="22"/>
        </w:rPr>
        <w:t>The NOTICE file must be made available to licensees at http://now.netapp.com, on the media on which the licensee receives the NetApp product, within the downloaded files, and/or reproduced within the materials or documentation accompanying the NetApp product.</w:t>
      </w:r>
    </w:p>
    <w:p w:rsidR="00290828" w:rsidRPr="008212A9" w:rsidRDefault="00290828" w:rsidP="004148B4">
      <w:pPr>
        <w:autoSpaceDE w:val="0"/>
        <w:autoSpaceDN w:val="0"/>
        <w:adjustRightInd w:val="0"/>
        <w:spacing w:after="0"/>
        <w:rPr>
          <w:sz w:val="22"/>
          <w:szCs w:val="22"/>
        </w:rPr>
      </w:pPr>
    </w:p>
    <w:p w:rsidR="00AB4434" w:rsidRPr="008212A9" w:rsidRDefault="00D154B2" w:rsidP="004148B4">
      <w:pPr>
        <w:autoSpaceDE w:val="0"/>
        <w:autoSpaceDN w:val="0"/>
        <w:adjustRightInd w:val="0"/>
        <w:spacing w:after="0"/>
        <w:rPr>
          <w:b/>
          <w:sz w:val="22"/>
          <w:szCs w:val="22"/>
        </w:rPr>
      </w:pPr>
      <w:r>
        <w:rPr>
          <w:b/>
          <w:sz w:val="22"/>
          <w:szCs w:val="22"/>
        </w:rPr>
        <w:t>PRE-APPROVAL</w:t>
      </w:r>
      <w:r w:rsidR="001C0F50" w:rsidRPr="001C0F50">
        <w:rPr>
          <w:b/>
          <w:sz w:val="22"/>
          <w:szCs w:val="22"/>
        </w:rPr>
        <w:t xml:space="preserve"> PROCESS</w:t>
      </w:r>
    </w:p>
    <w:p w:rsidR="00AB4434" w:rsidRPr="008212A9" w:rsidRDefault="00AB4434" w:rsidP="004148B4">
      <w:pPr>
        <w:autoSpaceDE w:val="0"/>
        <w:autoSpaceDN w:val="0"/>
        <w:adjustRightInd w:val="0"/>
        <w:spacing w:after="0"/>
        <w:rPr>
          <w:b/>
          <w:sz w:val="22"/>
          <w:szCs w:val="22"/>
        </w:rPr>
      </w:pPr>
    </w:p>
    <w:p w:rsidR="00AB4434" w:rsidRPr="008212A9" w:rsidRDefault="001C0F50" w:rsidP="004148B4">
      <w:pPr>
        <w:autoSpaceDE w:val="0"/>
        <w:autoSpaceDN w:val="0"/>
        <w:adjustRightInd w:val="0"/>
        <w:spacing w:after="0"/>
        <w:rPr>
          <w:sz w:val="22"/>
          <w:szCs w:val="22"/>
        </w:rPr>
      </w:pPr>
      <w:r w:rsidRPr="001C0F50">
        <w:rPr>
          <w:sz w:val="22"/>
          <w:szCs w:val="22"/>
        </w:rPr>
        <w:t xml:space="preserve">The download, testing, or use of Open Source at NetApp requires legal </w:t>
      </w:r>
      <w:r w:rsidR="00D154B2">
        <w:rPr>
          <w:sz w:val="22"/>
          <w:szCs w:val="22"/>
        </w:rPr>
        <w:t>pre-</w:t>
      </w:r>
      <w:r w:rsidRPr="001C0F50">
        <w:rPr>
          <w:sz w:val="22"/>
          <w:szCs w:val="22"/>
        </w:rPr>
        <w:t xml:space="preserve">approval through the software licensing BURT process.  </w:t>
      </w:r>
    </w:p>
    <w:p w:rsidR="00AB4434" w:rsidRPr="008212A9" w:rsidRDefault="00AB4434" w:rsidP="004148B4">
      <w:pPr>
        <w:autoSpaceDE w:val="0"/>
        <w:autoSpaceDN w:val="0"/>
        <w:adjustRightInd w:val="0"/>
        <w:spacing w:after="0"/>
        <w:rPr>
          <w:sz w:val="22"/>
          <w:szCs w:val="22"/>
        </w:rPr>
      </w:pP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290828" w:rsidRPr="008A053E" w:rsidTr="003A7153">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290828" w:rsidRPr="008A053E" w:rsidRDefault="00290828" w:rsidP="003A7153">
            <w:pPr>
              <w:pStyle w:val="TableHeading"/>
            </w:pPr>
            <w:r w:rsidRPr="008A053E">
              <w:t>Best Practice</w:t>
            </w:r>
          </w:p>
        </w:tc>
      </w:tr>
      <w:tr w:rsidR="00290828" w:rsidTr="003A7153">
        <w:trPr>
          <w:cantSplit/>
        </w:trPr>
        <w:tc>
          <w:tcPr>
            <w:tcW w:w="8741" w:type="dxa"/>
          </w:tcPr>
          <w:p w:rsidR="00290828" w:rsidRDefault="008212A9" w:rsidP="00290828">
            <w:pPr>
              <w:pStyle w:val="BodyText"/>
              <w:rPr>
                <w:rFonts w:cs="Arial"/>
                <w:color w:val="000000"/>
                <w:szCs w:val="20"/>
                <w:shd w:val="clear" w:color="auto" w:fill="FFFFFF"/>
              </w:rPr>
            </w:pPr>
            <w:r>
              <w:rPr>
                <w:rFonts w:cs="Arial"/>
                <w:color w:val="000000"/>
                <w:szCs w:val="20"/>
                <w:shd w:val="clear" w:color="auto" w:fill="FFFFFF"/>
              </w:rPr>
              <w:t xml:space="preserve">Please submit a BURT for </w:t>
            </w:r>
            <w:r w:rsidR="00290828" w:rsidRPr="003D09AD">
              <w:rPr>
                <w:rFonts w:cs="Arial"/>
                <w:color w:val="000000"/>
                <w:szCs w:val="20"/>
                <w:shd w:val="clear" w:color="auto" w:fill="FFFFFF"/>
              </w:rPr>
              <w:t>approval</w:t>
            </w:r>
            <w:r w:rsidR="003A7153">
              <w:rPr>
                <w:rFonts w:cs="Arial"/>
                <w:color w:val="000000"/>
                <w:szCs w:val="20"/>
                <w:shd w:val="clear" w:color="auto" w:fill="FFFFFF"/>
              </w:rPr>
              <w:t xml:space="preserve"> </w:t>
            </w:r>
            <w:r w:rsidR="00290828" w:rsidRPr="003D09AD">
              <w:rPr>
                <w:rFonts w:cs="Arial"/>
                <w:color w:val="000000"/>
                <w:szCs w:val="20"/>
                <w:shd w:val="clear" w:color="auto" w:fill="FFFFFF"/>
              </w:rPr>
              <w:t xml:space="preserve">before including any Open Source </w:t>
            </w:r>
            <w:r w:rsidR="00290828">
              <w:rPr>
                <w:rFonts w:cs="Arial"/>
                <w:color w:val="000000"/>
                <w:szCs w:val="20"/>
                <w:shd w:val="clear" w:color="auto" w:fill="FFFFFF"/>
              </w:rPr>
              <w:t>code in a</w:t>
            </w:r>
            <w:r w:rsidR="00290828" w:rsidRPr="003D09AD">
              <w:rPr>
                <w:rFonts w:cs="Arial"/>
                <w:color w:val="000000"/>
                <w:szCs w:val="20"/>
                <w:shd w:val="clear" w:color="auto" w:fill="FFFFFF"/>
              </w:rPr>
              <w:t xml:space="preserve"> NetApp product. A new BURT is required (unless the approval </w:t>
            </w:r>
            <w:r w:rsidR="003A7153">
              <w:rPr>
                <w:rFonts w:cs="Arial"/>
                <w:color w:val="000000"/>
                <w:szCs w:val="20"/>
                <w:shd w:val="clear" w:color="auto" w:fill="FFFFFF"/>
              </w:rPr>
              <w:t>chances</w:t>
            </w:r>
            <w:r w:rsidR="00290828" w:rsidRPr="003D09AD">
              <w:rPr>
                <w:rFonts w:cs="Arial"/>
                <w:color w:val="000000"/>
                <w:szCs w:val="20"/>
                <w:shd w:val="clear" w:color="auto" w:fill="FFFFFF"/>
              </w:rPr>
              <w:t xml:space="preserve"> are marked as 'A'</w:t>
            </w:r>
            <w:r w:rsidR="00290828">
              <w:rPr>
                <w:rFonts w:cs="Arial"/>
                <w:color w:val="000000"/>
                <w:szCs w:val="20"/>
                <w:shd w:val="clear" w:color="auto" w:fill="FFFFFF"/>
              </w:rPr>
              <w:t xml:space="preserve"> on the Licenses Wiki</w:t>
            </w:r>
            <w:r w:rsidR="003A7153">
              <w:rPr>
                <w:rFonts w:cs="Arial"/>
                <w:color w:val="000000"/>
                <w:szCs w:val="20"/>
                <w:shd w:val="clear" w:color="auto" w:fill="FFFFFF"/>
              </w:rPr>
              <w:t xml:space="preserve"> at </w:t>
            </w:r>
            <w:hyperlink r:id="rId17" w:history="1">
              <w:r w:rsidR="003A7153">
                <w:rPr>
                  <w:rStyle w:val="Hyperlink"/>
                  <w:rFonts w:ascii="Helvetica" w:hAnsi="Helvetica"/>
                  <w:b/>
                  <w:bCs/>
                  <w:color w:val="00B7F3"/>
                  <w:szCs w:val="20"/>
                  <w:bdr w:val="none" w:sz="0" w:space="0" w:color="auto" w:frame="1"/>
                </w:rPr>
                <w:t>http://wikid.netapp.com/w/Licenses</w:t>
              </w:r>
            </w:hyperlink>
            <w:r w:rsidR="003A7153">
              <w:rPr>
                <w:rFonts w:cs="Arial"/>
                <w:color w:val="000000"/>
                <w:szCs w:val="20"/>
                <w:shd w:val="clear" w:color="auto" w:fill="FFFFFF"/>
              </w:rPr>
              <w:t xml:space="preserve">) </w:t>
            </w:r>
            <w:r w:rsidR="00290828" w:rsidRPr="003D09AD">
              <w:rPr>
                <w:rFonts w:cs="Arial"/>
                <w:color w:val="000000"/>
                <w:szCs w:val="20"/>
                <w:shd w:val="clear" w:color="auto" w:fill="FFFFFF"/>
              </w:rPr>
              <w:t>even if the code has been used</w:t>
            </w:r>
            <w:r w:rsidR="003A7153">
              <w:rPr>
                <w:rFonts w:cs="Arial"/>
                <w:color w:val="000000"/>
                <w:szCs w:val="20"/>
                <w:shd w:val="clear" w:color="auto" w:fill="FFFFFF"/>
              </w:rPr>
              <w:t xml:space="preserve"> by another NetApp product and</w:t>
            </w:r>
            <w:r w:rsidR="00290828" w:rsidRPr="003D09AD">
              <w:rPr>
                <w:rFonts w:cs="Arial"/>
                <w:color w:val="000000"/>
                <w:szCs w:val="20"/>
                <w:shd w:val="clear" w:color="auto" w:fill="FFFFFF"/>
              </w:rPr>
              <w:t xml:space="preserve"> if a product </w:t>
            </w:r>
            <w:r w:rsidR="003A7153">
              <w:rPr>
                <w:rFonts w:cs="Arial"/>
                <w:color w:val="000000"/>
                <w:szCs w:val="20"/>
                <w:shd w:val="clear" w:color="auto" w:fill="FFFFFF"/>
              </w:rPr>
              <w:t>is utilizing</w:t>
            </w:r>
            <w:r w:rsidR="00290828" w:rsidRPr="003D09AD">
              <w:rPr>
                <w:rFonts w:cs="Arial"/>
                <w:color w:val="000000"/>
                <w:szCs w:val="20"/>
                <w:shd w:val="clear" w:color="auto" w:fill="FFFFFF"/>
              </w:rPr>
              <w:t xml:space="preserve"> a different version of the code then </w:t>
            </w:r>
            <w:r w:rsidR="003A7153">
              <w:rPr>
                <w:rFonts w:cs="Arial"/>
                <w:color w:val="000000"/>
                <w:szCs w:val="20"/>
                <w:shd w:val="clear" w:color="auto" w:fill="FFFFFF"/>
              </w:rPr>
              <w:t>the one currently used.</w:t>
            </w:r>
          </w:p>
          <w:p w:rsidR="001C0F50" w:rsidRDefault="001C0F50" w:rsidP="001C0F50">
            <w:pPr>
              <w:pStyle w:val="NormalWeb"/>
              <w:spacing w:line="270" w:lineRule="atLeast"/>
              <w:textAlignment w:val="baseline"/>
              <w:rPr>
                <w:rFonts w:cs="Arial"/>
                <w:szCs w:val="20"/>
              </w:rPr>
            </w:pPr>
            <w:r w:rsidRPr="001C0F50">
              <w:rPr>
                <w:rFonts w:ascii="Arial" w:hAnsi="Arial" w:cs="Arial"/>
                <w:color w:val="000000"/>
                <w:sz w:val="20"/>
                <w:szCs w:val="20"/>
              </w:rPr>
              <w:t xml:space="preserve">Please refer to </w:t>
            </w:r>
            <w:hyperlink r:id="rId18" w:history="1">
              <w:r w:rsidRPr="001C0F50">
                <w:rPr>
                  <w:rFonts w:ascii="Arial" w:hAnsi="Arial" w:cs="Arial"/>
                  <w:color w:val="000000"/>
                  <w:sz w:val="20"/>
                  <w:szCs w:val="20"/>
                </w:rPr>
                <w:t>http://wikid.netapp.com/w/HHG/Software-4.0/3rd-Party/license_burts</w:t>
              </w:r>
            </w:hyperlink>
            <w:r w:rsidRPr="001C0F50">
              <w:rPr>
                <w:rFonts w:ascii="Arial" w:hAnsi="Arial" w:cs="Arial"/>
                <w:color w:val="000000"/>
                <w:sz w:val="20"/>
                <w:szCs w:val="20"/>
              </w:rPr>
              <w:t xml:space="preserve"> for more information. If you have any questions, please contact: dl-legal.</w:t>
            </w:r>
          </w:p>
        </w:tc>
      </w:tr>
    </w:tbl>
    <w:p w:rsidR="001C0F50" w:rsidRDefault="001C0F50" w:rsidP="001C0F50">
      <w:pPr>
        <w:pStyle w:val="Heading4"/>
        <w:numPr>
          <w:ilvl w:val="0"/>
          <w:numId w:val="0"/>
        </w:numPr>
        <w:spacing w:before="0" w:after="0" w:line="240" w:lineRule="atLeast"/>
        <w:textAlignment w:val="baseline"/>
        <w:rPr>
          <w:rFonts w:ascii="Arial" w:hAnsi="Arial" w:cs="Arial"/>
          <w:sz w:val="22"/>
        </w:rPr>
      </w:pPr>
    </w:p>
    <w:p w:rsidR="001C0F50" w:rsidRPr="001C0F50" w:rsidRDefault="00D154B2" w:rsidP="001C0F50">
      <w:pPr>
        <w:pStyle w:val="Heading4"/>
        <w:numPr>
          <w:ilvl w:val="0"/>
          <w:numId w:val="0"/>
        </w:numPr>
        <w:spacing w:before="0" w:after="0" w:line="240" w:lineRule="atLeast"/>
        <w:textAlignment w:val="baseline"/>
        <w:rPr>
          <w:rFonts w:ascii="Arial" w:hAnsi="Arial" w:cs="Arial"/>
          <w:sz w:val="22"/>
          <w:szCs w:val="22"/>
        </w:rPr>
      </w:pPr>
      <w:r>
        <w:rPr>
          <w:rFonts w:ascii="Arial" w:hAnsi="Arial" w:cs="Arial"/>
          <w:sz w:val="22"/>
          <w:szCs w:val="22"/>
        </w:rPr>
        <w:t>PRE-RELEASE</w:t>
      </w:r>
      <w:r w:rsidR="001C0F50" w:rsidRPr="001C0F50">
        <w:rPr>
          <w:rFonts w:ascii="Arial" w:hAnsi="Arial" w:cs="Arial"/>
          <w:sz w:val="22"/>
          <w:szCs w:val="22"/>
        </w:rPr>
        <w:t xml:space="preserve"> PROCESS</w:t>
      </w:r>
    </w:p>
    <w:p w:rsidR="001C0F50" w:rsidRPr="001C0F50" w:rsidRDefault="001C0F50" w:rsidP="001C0F50">
      <w:pPr>
        <w:pStyle w:val="Heading4"/>
        <w:numPr>
          <w:ilvl w:val="0"/>
          <w:numId w:val="0"/>
        </w:numPr>
        <w:spacing w:before="0" w:after="0" w:line="240" w:lineRule="atLeast"/>
        <w:textAlignment w:val="baseline"/>
        <w:rPr>
          <w:rFonts w:ascii="Arial" w:hAnsi="Arial" w:cs="Arial"/>
          <w:sz w:val="22"/>
          <w:szCs w:val="22"/>
        </w:rPr>
      </w:pPr>
    </w:p>
    <w:p w:rsidR="001C0F50" w:rsidRDefault="001C0F50" w:rsidP="001C0F50">
      <w:pPr>
        <w:pStyle w:val="Heading4"/>
        <w:numPr>
          <w:ilvl w:val="0"/>
          <w:numId w:val="0"/>
        </w:numPr>
        <w:spacing w:before="0" w:after="0" w:line="240" w:lineRule="atLeast"/>
        <w:textAlignment w:val="baseline"/>
        <w:rPr>
          <w:rFonts w:ascii="Arial" w:hAnsi="Arial" w:cs="Arial"/>
          <w:bCs/>
          <w:color w:val="555555"/>
          <w:sz w:val="22"/>
          <w:szCs w:val="22"/>
          <w:bdr w:val="none" w:sz="0" w:space="0" w:color="auto" w:frame="1"/>
        </w:rPr>
      </w:pPr>
      <w:r w:rsidRPr="001C0F50">
        <w:rPr>
          <w:rFonts w:ascii="Arial" w:hAnsi="Arial" w:cs="Arial"/>
          <w:b w:val="0"/>
          <w:color w:val="000000"/>
          <w:sz w:val="22"/>
          <w:szCs w:val="22"/>
        </w:rPr>
        <w:t xml:space="preserve">Prior to </w:t>
      </w:r>
      <w:r w:rsidR="00D154B2">
        <w:rPr>
          <w:rFonts w:ascii="Arial" w:hAnsi="Arial" w:cs="Arial"/>
          <w:b w:val="0"/>
          <w:color w:val="000000"/>
          <w:sz w:val="22"/>
          <w:szCs w:val="22"/>
        </w:rPr>
        <w:t>the</w:t>
      </w:r>
      <w:r w:rsidRPr="001C0F50">
        <w:rPr>
          <w:rFonts w:ascii="Arial" w:hAnsi="Arial" w:cs="Arial"/>
          <w:b w:val="0"/>
          <w:color w:val="000000"/>
          <w:sz w:val="22"/>
          <w:szCs w:val="22"/>
        </w:rPr>
        <w:t xml:space="preserve"> release of a NetApp product, </w:t>
      </w:r>
      <w:r w:rsidR="00D154B2">
        <w:rPr>
          <w:rFonts w:ascii="Arial" w:hAnsi="Arial" w:cs="Arial"/>
          <w:b w:val="0"/>
          <w:color w:val="000000"/>
          <w:sz w:val="22"/>
          <w:szCs w:val="22"/>
        </w:rPr>
        <w:t>the product may require a Black Duck scan. A</w:t>
      </w:r>
      <w:r w:rsidRPr="001C0F50">
        <w:rPr>
          <w:rFonts w:ascii="Arial" w:hAnsi="Arial" w:cs="Arial"/>
          <w:b w:val="0"/>
          <w:color w:val="000000"/>
          <w:sz w:val="22"/>
          <w:szCs w:val="22"/>
        </w:rPr>
        <w:t xml:space="preserve"> scan plan meeting must be scheduled to determine if </w:t>
      </w:r>
      <w:r w:rsidR="00D154B2">
        <w:rPr>
          <w:rFonts w:ascii="Arial" w:hAnsi="Arial" w:cs="Arial"/>
          <w:b w:val="0"/>
          <w:color w:val="000000"/>
          <w:sz w:val="22"/>
          <w:szCs w:val="22"/>
        </w:rPr>
        <w:t>such a</w:t>
      </w:r>
      <w:r w:rsidRPr="001C0F50">
        <w:rPr>
          <w:rFonts w:ascii="Arial" w:hAnsi="Arial" w:cs="Arial"/>
          <w:b w:val="0"/>
          <w:color w:val="000000"/>
          <w:sz w:val="22"/>
          <w:szCs w:val="22"/>
        </w:rPr>
        <w:t xml:space="preserve"> scan</w:t>
      </w:r>
      <w:r w:rsidR="00D154B2">
        <w:rPr>
          <w:rFonts w:ascii="Arial" w:hAnsi="Arial" w:cs="Arial"/>
          <w:b w:val="0"/>
          <w:color w:val="000000"/>
          <w:sz w:val="22"/>
          <w:szCs w:val="22"/>
        </w:rPr>
        <w:t xml:space="preserve"> is required</w:t>
      </w:r>
      <w:r w:rsidRPr="001C0F50">
        <w:rPr>
          <w:rFonts w:ascii="Arial" w:hAnsi="Arial" w:cs="Arial"/>
          <w:b w:val="0"/>
          <w:color w:val="000000"/>
          <w:sz w:val="22"/>
          <w:szCs w:val="22"/>
        </w:rPr>
        <w:t xml:space="preserve">. Please refer to </w:t>
      </w:r>
      <w:hyperlink r:id="rId19" w:history="1">
        <w:r w:rsidR="005C26BB" w:rsidRPr="005C26BB">
          <w:rPr>
            <w:rStyle w:val="Hyperlink"/>
            <w:rFonts w:ascii="Arial" w:hAnsi="Arial" w:cs="Arial"/>
            <w:b w:val="0"/>
            <w:bCs/>
            <w:sz w:val="22"/>
            <w:szCs w:val="22"/>
            <w:bdr w:val="none" w:sz="0" w:space="0" w:color="auto" w:frame="1"/>
          </w:rPr>
          <w:t>http://thebrewery-web.corp.netapp.com/Brewery/brewery/dev/Governance/3rdPartySoftware/3rdPartyCodeProcess/index.html</w:t>
        </w:r>
      </w:hyperlink>
      <w:r w:rsidR="005C26BB">
        <w:rPr>
          <w:rFonts w:ascii="Arial" w:hAnsi="Arial" w:cs="Arial"/>
          <w:b w:val="0"/>
          <w:bCs/>
          <w:color w:val="555555"/>
          <w:sz w:val="22"/>
          <w:szCs w:val="22"/>
          <w:bdr w:val="none" w:sz="0" w:space="0" w:color="auto" w:frame="1"/>
        </w:rPr>
        <w:t xml:space="preserve">  </w:t>
      </w:r>
      <w:r w:rsidRPr="001C0F50">
        <w:rPr>
          <w:rFonts w:ascii="Arial" w:hAnsi="Arial" w:cs="Arial"/>
          <w:b w:val="0"/>
          <w:bCs/>
          <w:color w:val="555555"/>
          <w:sz w:val="22"/>
          <w:szCs w:val="22"/>
          <w:bdr w:val="none" w:sz="0" w:space="0" w:color="auto" w:frame="1"/>
        </w:rPr>
        <w:t xml:space="preserve">for more information. </w:t>
      </w:r>
    </w:p>
    <w:p w:rsidR="001C0F50" w:rsidRPr="001C0F50" w:rsidRDefault="001C0F50" w:rsidP="001C0F50"/>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6438B9" w:rsidRPr="008A053E" w:rsidTr="009D64C6">
        <w:trPr>
          <w:cantSplit/>
        </w:trPr>
        <w:tc>
          <w:tcPr>
            <w:tcW w:w="9360"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6438B9" w:rsidRPr="008A053E" w:rsidRDefault="006438B9" w:rsidP="009D64C6">
            <w:pPr>
              <w:pStyle w:val="TableHeading"/>
            </w:pPr>
            <w:r>
              <w:t>Notes to Client:</w:t>
            </w:r>
          </w:p>
        </w:tc>
      </w:tr>
      <w:tr w:rsidR="006438B9" w:rsidTr="009D64C6">
        <w:trPr>
          <w:cantSplit/>
        </w:trPr>
        <w:tc>
          <w:tcPr>
            <w:tcW w:w="9360" w:type="dxa"/>
          </w:tcPr>
          <w:p w:rsidR="001C0F50" w:rsidRDefault="006438B9" w:rsidP="001C0F50">
            <w:pPr>
              <w:pStyle w:val="BodyText"/>
            </w:pPr>
            <w:r>
              <w:t xml:space="preserve">For guidance on drafting copyright notices for: (a) minor contributions of bug fixes to an open source project, (b) contributions of NetApp code to an open source project, or (c) releases of NetApp code under an open source licensing scheme, please refer to the guidelines for the NetApp Open Source Contribution </w:t>
            </w:r>
            <w:r w:rsidR="00CA2119">
              <w:t>Policy</w:t>
            </w:r>
            <w:r>
              <w:t xml:space="preserve"> and Process at: </w:t>
            </w:r>
            <w:hyperlink r:id="rId20" w:history="1">
              <w:r w:rsidR="001C0F50" w:rsidRPr="001C0F50">
                <w:rPr>
                  <w:rStyle w:val="Hyperlink"/>
                  <w:color w:val="00B0F0"/>
                </w:rPr>
                <w:t>http://legal.corp.netapp.com/?page_id=178</w:t>
              </w:r>
            </w:hyperlink>
          </w:p>
        </w:tc>
      </w:tr>
    </w:tbl>
    <w:p w:rsidR="001C0F50" w:rsidRPr="001C0F50" w:rsidRDefault="001C0F50" w:rsidP="001C0F50">
      <w:pPr>
        <w:rPr>
          <w:rFonts w:cs="Arial"/>
          <w:b/>
          <w:bCs/>
          <w:color w:val="555555"/>
          <w:sz w:val="22"/>
          <w:szCs w:val="22"/>
          <w:bdr w:val="none" w:sz="0" w:space="0" w:color="auto" w:frame="1"/>
        </w:rPr>
      </w:pPr>
    </w:p>
    <w:p w:rsidR="001C0F50" w:rsidRPr="001C0F50" w:rsidRDefault="001C0F50" w:rsidP="001C0F50">
      <w:pPr>
        <w:rPr>
          <w:rFonts w:cs="Arial"/>
          <w:color w:val="000000"/>
          <w:shd w:val="clear" w:color="auto" w:fill="FFFFFF"/>
        </w:rPr>
      </w:pPr>
    </w:p>
    <w:p w:rsidR="001C0F50" w:rsidRPr="001C0F50" w:rsidRDefault="001C0F50" w:rsidP="001C0F50">
      <w:pPr>
        <w:pStyle w:val="ListParagraph"/>
        <w:numPr>
          <w:ilvl w:val="0"/>
          <w:numId w:val="10"/>
        </w:numPr>
        <w:rPr>
          <w:rFonts w:ascii="Arial" w:hAnsi="Arial" w:cs="Arial"/>
          <w:b/>
          <w:color w:val="0070C0"/>
          <w:sz w:val="26"/>
          <w:szCs w:val="26"/>
        </w:rPr>
      </w:pPr>
      <w:r w:rsidRPr="001C0F50">
        <w:rPr>
          <w:rFonts w:ascii="Arial" w:hAnsi="Arial" w:cs="Arial"/>
          <w:b/>
          <w:color w:val="0070C0"/>
          <w:sz w:val="26"/>
          <w:szCs w:val="26"/>
        </w:rPr>
        <w:t>U.S. GOVERNMENT AND U.S. EXPORT CONTROL NOTICE</w:t>
      </w:r>
      <w:r w:rsidR="003D09AD">
        <w:rPr>
          <w:rFonts w:ascii="Arial" w:hAnsi="Arial" w:cs="Arial"/>
          <w:b/>
          <w:color w:val="0070C0"/>
          <w:sz w:val="26"/>
          <w:szCs w:val="26"/>
        </w:rPr>
        <w:t>S</w:t>
      </w:r>
    </w:p>
    <w:p w:rsidR="00EA0B09" w:rsidRPr="00040EBB" w:rsidRDefault="00EA0B09" w:rsidP="00EA0B09">
      <w:pPr>
        <w:pStyle w:val="Heading2"/>
      </w:pPr>
      <w:r w:rsidRPr="00040EBB">
        <w:t>U</w:t>
      </w:r>
      <w:r>
        <w:t xml:space="preserve">nited </w:t>
      </w:r>
      <w:r w:rsidRPr="00040EBB">
        <w:t>S</w:t>
      </w:r>
      <w:r>
        <w:t>tates</w:t>
      </w:r>
      <w:r w:rsidRPr="00040EBB">
        <w:t xml:space="preserve"> Government Rights Notice</w:t>
      </w:r>
    </w:p>
    <w:p w:rsidR="00EA0B09" w:rsidRPr="008212A9" w:rsidRDefault="001C0F50" w:rsidP="00EA0B09">
      <w:pPr>
        <w:pStyle w:val="BodyText"/>
        <w:rPr>
          <w:sz w:val="22"/>
        </w:rPr>
      </w:pPr>
      <w:r w:rsidRPr="001C0F50">
        <w:rPr>
          <w:sz w:val="22"/>
        </w:rPr>
        <w:t>For all products (including all software available to commercial customers) that may be used or in any manner procured by the U.S. Government or its contractors, a U.S. Government Rights notice will need to be included.</w:t>
      </w:r>
    </w:p>
    <w:p w:rsidR="00EA0B09" w:rsidRPr="008212A9" w:rsidRDefault="001C0F50" w:rsidP="00EA0B09">
      <w:pPr>
        <w:pStyle w:val="BodyText"/>
        <w:rPr>
          <w:sz w:val="22"/>
        </w:rPr>
      </w:pPr>
      <w:r w:rsidRPr="001C0F50">
        <w:rPr>
          <w:sz w:val="22"/>
        </w:rPr>
        <w:t>In addition, if the work consists of any form of documentation that is being released as part of a product package (and not as a standalone document) with a product that may be used or in any manner procured by the U.S. Government or its contractors, the government restricted rights notice must appears as its own “standalone” paragraph at the end of the NetApp copyright notice.</w:t>
      </w:r>
    </w:p>
    <w:tbl>
      <w:tblPr>
        <w:tblW w:w="9360" w:type="dxa"/>
        <w:tblInd w:w="115" w:type="dxa"/>
        <w:tblBorders>
          <w:top w:val="single" w:sz="8" w:space="0" w:color="4F81BD"/>
          <w:left w:val="single" w:sz="8" w:space="0" w:color="4F81BD"/>
          <w:bottom w:val="single" w:sz="8" w:space="0" w:color="4F81BD"/>
          <w:right w:val="single" w:sz="8" w:space="0" w:color="4F81BD"/>
        </w:tblBorders>
        <w:tblLook w:val="04A0"/>
      </w:tblPr>
      <w:tblGrid>
        <w:gridCol w:w="9360"/>
      </w:tblGrid>
      <w:tr w:rsidR="003D09AD" w:rsidRPr="008A053E" w:rsidTr="003A7153">
        <w:trPr>
          <w:cantSplit/>
        </w:trPr>
        <w:tc>
          <w:tcPr>
            <w:tcW w:w="8741"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3D09AD" w:rsidRPr="008A053E" w:rsidRDefault="003D09AD" w:rsidP="003A7153">
            <w:pPr>
              <w:pStyle w:val="TableHeading"/>
            </w:pPr>
            <w:r w:rsidRPr="008A053E">
              <w:t>Best Practice</w:t>
            </w:r>
          </w:p>
        </w:tc>
      </w:tr>
      <w:tr w:rsidR="003D09AD" w:rsidTr="003A7153">
        <w:trPr>
          <w:cantSplit/>
        </w:trPr>
        <w:tc>
          <w:tcPr>
            <w:tcW w:w="8741" w:type="dxa"/>
          </w:tcPr>
          <w:p w:rsidR="003D09AD" w:rsidRPr="00F9252B" w:rsidRDefault="001C0F50" w:rsidP="003A7153">
            <w:pPr>
              <w:pStyle w:val="BodyText"/>
              <w:rPr>
                <w:color w:val="000000" w:themeColor="text1"/>
              </w:rPr>
            </w:pPr>
            <w:r w:rsidRPr="001C0F50">
              <w:rPr>
                <w:rStyle w:val="apple-style-span"/>
                <w:color w:val="000000" w:themeColor="text1"/>
                <w:szCs w:val="20"/>
                <w:shd w:val="clear" w:color="auto" w:fill="FFFFFF"/>
              </w:rPr>
              <w:t>U.S. Government Rights -- Commercial Computer Software.  Government users are subject to the NetApp, Inc. standard license agreement and applicable provisions of the FAR and its supplements.</w:t>
            </w:r>
          </w:p>
        </w:tc>
      </w:tr>
    </w:tbl>
    <w:p w:rsidR="00EA0B09" w:rsidRPr="008212A9" w:rsidRDefault="001C0F50" w:rsidP="00EA0B09">
      <w:pPr>
        <w:pStyle w:val="BodyText"/>
        <w:rPr>
          <w:sz w:val="22"/>
        </w:rPr>
      </w:pPr>
      <w:r w:rsidRPr="001C0F50">
        <w:rPr>
          <w:sz w:val="22"/>
        </w:rPr>
        <w:t>A U.S. Government Rights notice is not unique and many other foreign governments seek to assert copyright and other intellectual property rights in products that are shipped to foreign countries. Acknowledgment of foreign rights is sometimes negotiable and other times not, especially if the products are subject to a public issued tender which contains government purchasing terms and conditions. For specific questions on government purchasing terms and conditions, contact dl-legal.</w:t>
      </w:r>
    </w:p>
    <w:p w:rsidR="00EA0B09" w:rsidRPr="008212A9" w:rsidRDefault="001C0F50" w:rsidP="00EA0B09">
      <w:pPr>
        <w:pStyle w:val="Heading2"/>
        <w:rPr>
          <w:szCs w:val="22"/>
        </w:rPr>
      </w:pPr>
      <w:r w:rsidRPr="001C0F50">
        <w:rPr>
          <w:szCs w:val="22"/>
        </w:rPr>
        <w:t>U.S. Export Control/</w:t>
      </w:r>
      <w:r w:rsidR="00491490">
        <w:rPr>
          <w:szCs w:val="22"/>
        </w:rPr>
        <w:t>Global Trace Compliance (GTC)</w:t>
      </w:r>
      <w:r w:rsidR="00491490" w:rsidRPr="001C0F50">
        <w:rPr>
          <w:szCs w:val="22"/>
        </w:rPr>
        <w:t xml:space="preserve"> </w:t>
      </w:r>
      <w:r w:rsidRPr="001C0F50">
        <w:rPr>
          <w:szCs w:val="22"/>
        </w:rPr>
        <w:t xml:space="preserve">Issues </w:t>
      </w:r>
    </w:p>
    <w:p w:rsidR="003C0227" w:rsidRDefault="001C0F50" w:rsidP="00364EE5">
      <w:pPr>
        <w:pStyle w:val="BodyText"/>
        <w:rPr>
          <w:b/>
          <w:bCs/>
          <w:caps/>
          <w:color w:val="0067C5"/>
          <w:sz w:val="26"/>
          <w:szCs w:val="28"/>
        </w:rPr>
      </w:pPr>
      <w:r w:rsidRPr="001C0F50">
        <w:rPr>
          <w:sz w:val="22"/>
        </w:rPr>
        <w:t xml:space="preserve">Almost all NetApp products and documentation are subject to U.S. export control laws. </w:t>
      </w:r>
      <w:r w:rsidR="00364EE5">
        <w:rPr>
          <w:sz w:val="22"/>
        </w:rPr>
        <w:t xml:space="preserve">You should always contact the GTC team by e-mailing </w:t>
      </w:r>
      <w:hyperlink r:id="rId21" w:history="1">
        <w:r w:rsidR="00364EE5" w:rsidRPr="00FA17FF">
          <w:rPr>
            <w:rStyle w:val="Hyperlink"/>
            <w:sz w:val="22"/>
          </w:rPr>
          <w:t>gtc@netapp.com</w:t>
        </w:r>
      </w:hyperlink>
      <w:r w:rsidR="00364EE5">
        <w:rPr>
          <w:sz w:val="22"/>
        </w:rPr>
        <w:t xml:space="preserve"> for compliance guidelines. </w:t>
      </w:r>
      <w:bookmarkStart w:id="42" w:name="_Toc301531217"/>
      <w:bookmarkStart w:id="43" w:name="_Toc301783568"/>
    </w:p>
    <w:p w:rsidR="00364EE5" w:rsidRDefault="00364EE5">
      <w:pPr>
        <w:spacing w:after="0"/>
        <w:rPr>
          <w:b/>
          <w:bCs/>
          <w:caps/>
          <w:color w:val="0067C5"/>
          <w:sz w:val="26"/>
          <w:szCs w:val="28"/>
        </w:rPr>
      </w:pPr>
      <w:r>
        <w:br w:type="page"/>
      </w:r>
    </w:p>
    <w:p w:rsidR="001C0F50" w:rsidRDefault="00041C54">
      <w:pPr>
        <w:pStyle w:val="Heading1"/>
        <w:numPr>
          <w:ilvl w:val="0"/>
          <w:numId w:val="0"/>
        </w:numPr>
        <w:jc w:val="center"/>
      </w:pPr>
      <w:r w:rsidRPr="00907CF9">
        <w:t>APPENDIX A – Placement of Notices</w:t>
      </w:r>
      <w:bookmarkEnd w:id="42"/>
      <w:bookmarkEnd w:id="43"/>
    </w:p>
    <w:p w:rsidR="00041C54" w:rsidRPr="008212A9" w:rsidRDefault="00041C54" w:rsidP="00041C54">
      <w:pPr>
        <w:autoSpaceDE w:val="0"/>
        <w:autoSpaceDN w:val="0"/>
        <w:adjustRightInd w:val="0"/>
        <w:spacing w:after="0"/>
        <w:rPr>
          <w:rFonts w:ascii="Times New Roman" w:hAnsi="Times New Roman"/>
          <w:sz w:val="22"/>
          <w:szCs w:val="22"/>
        </w:rPr>
      </w:pPr>
    </w:p>
    <w:p w:rsidR="00041C54" w:rsidRPr="008212A9" w:rsidRDefault="001C0F50" w:rsidP="001A6394">
      <w:pPr>
        <w:pStyle w:val="BodyText"/>
        <w:rPr>
          <w:sz w:val="22"/>
        </w:rPr>
      </w:pPr>
      <w:r w:rsidRPr="001C0F50">
        <w:rPr>
          <w:sz w:val="22"/>
        </w:rPr>
        <w:t xml:space="preserve">There are two equally important components to copyright notices (for copyrights and trademarks): content of the notice and proper placement of the notice in NetApp's materials and products. The purpose of this Appendix is to provide guidance on how and where to place the notices once generated. </w:t>
      </w:r>
    </w:p>
    <w:p w:rsidR="00041C54" w:rsidRPr="008212A9" w:rsidRDefault="001C0F50" w:rsidP="001A6394">
      <w:pPr>
        <w:pStyle w:val="BodyText"/>
        <w:rPr>
          <w:sz w:val="22"/>
        </w:rPr>
      </w:pPr>
      <w:r w:rsidRPr="001C0F50">
        <w:rPr>
          <w:sz w:val="22"/>
        </w:rPr>
        <w:t>The goal of legal notices is to make the user aware of NetApp's rights in the product or material. Thus, copyright notices should be included in a variety of locations. For example, copyright notices appear on and in products, media, documentation, and specifications, as well as in all marketing materials and sometimes in end-user license agreements.</w:t>
      </w:r>
    </w:p>
    <w:p w:rsidR="00041C54" w:rsidRPr="008212A9" w:rsidRDefault="001C0F50" w:rsidP="001A6394">
      <w:pPr>
        <w:pStyle w:val="BodyText"/>
        <w:rPr>
          <w:sz w:val="22"/>
        </w:rPr>
      </w:pPr>
      <w:r w:rsidRPr="001C0F50">
        <w:rPr>
          <w:sz w:val="22"/>
        </w:rPr>
        <w:t>The type and location of which copyright notice to use will depend on the work.</w:t>
      </w:r>
    </w:p>
    <w:p w:rsidR="001A6394" w:rsidRPr="008212A9" w:rsidRDefault="001A6394" w:rsidP="001A6394">
      <w:pPr>
        <w:pStyle w:val="BodyText"/>
        <w:rPr>
          <w:sz w:val="22"/>
        </w:rPr>
      </w:pPr>
    </w:p>
    <w:p w:rsidR="00041C54" w:rsidRPr="008212A9" w:rsidRDefault="001C0F50" w:rsidP="001A6394">
      <w:pPr>
        <w:pStyle w:val="BodyText"/>
        <w:rPr>
          <w:caps/>
          <w:sz w:val="22"/>
        </w:rPr>
      </w:pPr>
      <w:r w:rsidRPr="001C0F50">
        <w:rPr>
          <w:caps/>
          <w:sz w:val="22"/>
        </w:rPr>
        <w:t>THE FOLLOWING provides guidance on proper PLACEment of a COPYRIGHT  NOTICE:</w:t>
      </w:r>
    </w:p>
    <w:p w:rsidR="001A6394" w:rsidRPr="008212A9" w:rsidRDefault="001C0F50" w:rsidP="00B31B21">
      <w:pPr>
        <w:pStyle w:val="BodyText"/>
        <w:numPr>
          <w:ilvl w:val="0"/>
          <w:numId w:val="19"/>
        </w:numPr>
        <w:rPr>
          <w:sz w:val="22"/>
        </w:rPr>
      </w:pPr>
      <w:r w:rsidRPr="001C0F50">
        <w:rPr>
          <w:sz w:val="22"/>
        </w:rPr>
        <w:t xml:space="preserve">Hardware </w:t>
      </w:r>
    </w:p>
    <w:p w:rsidR="00EE03A9" w:rsidRPr="008212A9" w:rsidRDefault="001C0F50">
      <w:pPr>
        <w:pStyle w:val="BodyText"/>
        <w:numPr>
          <w:ilvl w:val="1"/>
          <w:numId w:val="19"/>
        </w:numPr>
        <w:spacing w:before="0" w:after="0" w:line="240" w:lineRule="auto"/>
        <w:rPr>
          <w:sz w:val="22"/>
        </w:rPr>
      </w:pPr>
      <w:r w:rsidRPr="001C0F50">
        <w:rPr>
          <w:sz w:val="22"/>
        </w:rPr>
        <w:t>Printed on the device or on a sticker permanently affixed to the hardware device</w:t>
      </w:r>
    </w:p>
    <w:p w:rsidR="001C0F50" w:rsidRPr="001C0F50" w:rsidRDefault="001C0F50" w:rsidP="001C0F50">
      <w:pPr>
        <w:pStyle w:val="BodyText"/>
        <w:spacing w:before="0" w:after="0" w:line="240" w:lineRule="auto"/>
        <w:ind w:left="720"/>
        <w:rPr>
          <w:sz w:val="22"/>
        </w:rPr>
      </w:pPr>
      <w:r w:rsidRPr="001C0F50">
        <w:rPr>
          <w:sz w:val="22"/>
        </w:rPr>
        <w:t>OR</w:t>
      </w:r>
    </w:p>
    <w:p w:rsidR="00EE03A9" w:rsidRPr="008212A9" w:rsidRDefault="001C0F50">
      <w:pPr>
        <w:pStyle w:val="BodyText"/>
        <w:numPr>
          <w:ilvl w:val="1"/>
          <w:numId w:val="19"/>
        </w:numPr>
        <w:spacing w:before="0" w:after="0" w:line="240" w:lineRule="auto"/>
        <w:rPr>
          <w:sz w:val="22"/>
        </w:rPr>
      </w:pPr>
      <w:r w:rsidRPr="001C0F50">
        <w:rPr>
          <w:sz w:val="22"/>
        </w:rPr>
        <w:t>At the beginning of any related documentation</w:t>
      </w:r>
    </w:p>
    <w:p w:rsidR="00C21E4F" w:rsidRPr="008212A9" w:rsidRDefault="00C21E4F" w:rsidP="00C21E4F">
      <w:pPr>
        <w:pStyle w:val="BodyText"/>
        <w:spacing w:before="0" w:after="0" w:line="240" w:lineRule="auto"/>
        <w:ind w:left="720"/>
        <w:rPr>
          <w:sz w:val="22"/>
        </w:rPr>
      </w:pPr>
    </w:p>
    <w:p w:rsidR="001A6394" w:rsidRPr="008212A9" w:rsidRDefault="001C0F50" w:rsidP="00B31B21">
      <w:pPr>
        <w:pStyle w:val="BodyText"/>
        <w:numPr>
          <w:ilvl w:val="0"/>
          <w:numId w:val="19"/>
        </w:numPr>
        <w:rPr>
          <w:sz w:val="22"/>
        </w:rPr>
      </w:pPr>
      <w:r w:rsidRPr="001C0F50">
        <w:rPr>
          <w:sz w:val="22"/>
        </w:rPr>
        <w:t>Software</w:t>
      </w:r>
    </w:p>
    <w:p w:rsidR="00EE03A9" w:rsidRPr="008212A9" w:rsidRDefault="001C0F50">
      <w:pPr>
        <w:pStyle w:val="BodyText"/>
        <w:numPr>
          <w:ilvl w:val="2"/>
          <w:numId w:val="19"/>
        </w:numPr>
        <w:spacing w:before="0" w:after="0" w:line="240" w:lineRule="auto"/>
        <w:rPr>
          <w:sz w:val="22"/>
        </w:rPr>
      </w:pPr>
      <w:r w:rsidRPr="001C0F50">
        <w:rPr>
          <w:sz w:val="22"/>
        </w:rPr>
        <w:t>In the physical media and Internet download sites (if space is a constraint)</w:t>
      </w:r>
    </w:p>
    <w:p w:rsidR="00EE03A9" w:rsidRPr="008212A9" w:rsidRDefault="001C0F50">
      <w:pPr>
        <w:pStyle w:val="BodyText"/>
        <w:numPr>
          <w:ilvl w:val="2"/>
          <w:numId w:val="19"/>
        </w:numPr>
        <w:spacing w:before="0" w:after="0" w:line="240" w:lineRule="auto"/>
        <w:rPr>
          <w:sz w:val="22"/>
        </w:rPr>
      </w:pPr>
      <w:r w:rsidRPr="001C0F50">
        <w:rPr>
          <w:sz w:val="22"/>
        </w:rPr>
        <w:t>On any splash screens, launch screens, or welcome screens</w:t>
      </w:r>
    </w:p>
    <w:p w:rsidR="00EE03A9" w:rsidRPr="008212A9" w:rsidRDefault="001C0F50">
      <w:pPr>
        <w:pStyle w:val="BodyText"/>
        <w:numPr>
          <w:ilvl w:val="2"/>
          <w:numId w:val="19"/>
        </w:numPr>
        <w:spacing w:before="0" w:after="0" w:line="240" w:lineRule="auto"/>
        <w:rPr>
          <w:sz w:val="22"/>
        </w:rPr>
      </w:pPr>
      <w:r w:rsidRPr="001C0F50">
        <w:rPr>
          <w:sz w:val="22"/>
        </w:rPr>
        <w:t>In a Help? About box (if space is a constraint)</w:t>
      </w:r>
    </w:p>
    <w:p w:rsidR="001C0F50" w:rsidRPr="001C0F50" w:rsidRDefault="001C0F50" w:rsidP="001C0F50">
      <w:pPr>
        <w:pStyle w:val="BodyText"/>
        <w:spacing w:before="0" w:after="0" w:line="240" w:lineRule="auto"/>
        <w:ind w:left="1080"/>
        <w:rPr>
          <w:sz w:val="22"/>
        </w:rPr>
      </w:pPr>
      <w:r w:rsidRPr="001C0F50">
        <w:rPr>
          <w:sz w:val="22"/>
        </w:rPr>
        <w:t>OR</w:t>
      </w:r>
    </w:p>
    <w:p w:rsidR="00EE03A9" w:rsidRPr="008212A9" w:rsidRDefault="001C0F50">
      <w:pPr>
        <w:pStyle w:val="BodyText"/>
        <w:numPr>
          <w:ilvl w:val="2"/>
          <w:numId w:val="19"/>
        </w:numPr>
        <w:spacing w:before="0" w:after="0" w:line="240" w:lineRule="auto"/>
        <w:rPr>
          <w:sz w:val="22"/>
        </w:rPr>
      </w:pPr>
      <w:r w:rsidRPr="001C0F50">
        <w:rPr>
          <w:sz w:val="22"/>
        </w:rPr>
        <w:t>In a Help? About box (in lieu of Mini Form notice, if space allows?)</w:t>
      </w:r>
    </w:p>
    <w:p w:rsidR="00EE03A9" w:rsidRPr="008212A9" w:rsidRDefault="001C0F50">
      <w:pPr>
        <w:pStyle w:val="BodyText"/>
        <w:numPr>
          <w:ilvl w:val="2"/>
          <w:numId w:val="19"/>
        </w:numPr>
        <w:spacing w:before="0" w:after="0" w:line="240" w:lineRule="auto"/>
        <w:rPr>
          <w:sz w:val="22"/>
        </w:rPr>
      </w:pPr>
      <w:r w:rsidRPr="001C0F50">
        <w:rPr>
          <w:sz w:val="22"/>
        </w:rPr>
        <w:t>On the media, including Internet download sites (in lieu of Mini Form notice, where space is available)</w:t>
      </w:r>
    </w:p>
    <w:p w:rsidR="00EE03A9" w:rsidRPr="008212A9" w:rsidRDefault="001C0F50">
      <w:pPr>
        <w:pStyle w:val="BodyText"/>
        <w:numPr>
          <w:ilvl w:val="2"/>
          <w:numId w:val="19"/>
        </w:numPr>
        <w:spacing w:before="0" w:after="0" w:line="240" w:lineRule="auto"/>
        <w:rPr>
          <w:sz w:val="22"/>
        </w:rPr>
      </w:pPr>
      <w:r w:rsidRPr="001C0F50">
        <w:rPr>
          <w:sz w:val="22"/>
        </w:rPr>
        <w:t>At the top of the source code, in a header file</w:t>
      </w:r>
    </w:p>
    <w:p w:rsidR="00EE03A9" w:rsidRPr="008212A9" w:rsidRDefault="001C0F50">
      <w:pPr>
        <w:pStyle w:val="BodyText"/>
        <w:numPr>
          <w:ilvl w:val="2"/>
          <w:numId w:val="19"/>
        </w:numPr>
        <w:spacing w:before="0" w:after="0" w:line="240" w:lineRule="auto"/>
        <w:rPr>
          <w:sz w:val="22"/>
        </w:rPr>
      </w:pPr>
      <w:r w:rsidRPr="001C0F50">
        <w:rPr>
          <w:sz w:val="22"/>
        </w:rPr>
        <w:t>In a command-line interface available each time a user starts up the software anon demand through a command</w:t>
      </w:r>
    </w:p>
    <w:p w:rsidR="00EE03A9" w:rsidRPr="008212A9" w:rsidRDefault="001C0F50">
      <w:pPr>
        <w:pStyle w:val="BodyText"/>
        <w:numPr>
          <w:ilvl w:val="2"/>
          <w:numId w:val="19"/>
        </w:numPr>
        <w:spacing w:before="0" w:after="0" w:line="240" w:lineRule="auto"/>
        <w:rPr>
          <w:sz w:val="22"/>
        </w:rPr>
      </w:pPr>
      <w:r w:rsidRPr="001C0F50">
        <w:rPr>
          <w:sz w:val="22"/>
        </w:rPr>
        <w:t>At the beginning of any related documentation</w:t>
      </w:r>
    </w:p>
    <w:p w:rsidR="00EE03A9" w:rsidRPr="008212A9" w:rsidRDefault="001C0F50">
      <w:pPr>
        <w:pStyle w:val="BodyText"/>
        <w:numPr>
          <w:ilvl w:val="2"/>
          <w:numId w:val="19"/>
        </w:numPr>
        <w:spacing w:before="0" w:after="0" w:line="240" w:lineRule="auto"/>
        <w:rPr>
          <w:sz w:val="22"/>
        </w:rPr>
      </w:pPr>
      <w:r w:rsidRPr="001C0F50">
        <w:rPr>
          <w:sz w:val="22"/>
        </w:rPr>
        <w:t>In a Help? Box (in lieu of Mini or Short form notice, where space is available)</w:t>
      </w:r>
    </w:p>
    <w:p w:rsidR="00EE03A9" w:rsidRPr="008212A9" w:rsidRDefault="001C0F50">
      <w:pPr>
        <w:pStyle w:val="BodyText"/>
        <w:numPr>
          <w:ilvl w:val="2"/>
          <w:numId w:val="19"/>
        </w:numPr>
        <w:spacing w:before="0" w:after="0" w:line="240" w:lineRule="auto"/>
        <w:rPr>
          <w:sz w:val="22"/>
        </w:rPr>
      </w:pPr>
      <w:r w:rsidRPr="001C0F50">
        <w:rPr>
          <w:sz w:val="22"/>
        </w:rPr>
        <w:t>As part of the click-wrap terms or license documentation</w:t>
      </w:r>
    </w:p>
    <w:p w:rsidR="00EE03A9" w:rsidRPr="008212A9" w:rsidRDefault="001C0F50">
      <w:pPr>
        <w:pStyle w:val="BodyText"/>
        <w:numPr>
          <w:ilvl w:val="2"/>
          <w:numId w:val="19"/>
        </w:numPr>
        <w:spacing w:before="0" w:after="0" w:line="240" w:lineRule="auto"/>
        <w:rPr>
          <w:sz w:val="22"/>
        </w:rPr>
      </w:pPr>
      <w:r w:rsidRPr="001C0F50">
        <w:rPr>
          <w:sz w:val="22"/>
        </w:rPr>
        <w:t>Embedded in the object code</w:t>
      </w:r>
    </w:p>
    <w:p w:rsidR="00041C54" w:rsidRPr="008212A9" w:rsidRDefault="001C0F50" w:rsidP="00B31B21">
      <w:pPr>
        <w:pStyle w:val="BodyText"/>
        <w:numPr>
          <w:ilvl w:val="0"/>
          <w:numId w:val="19"/>
        </w:numPr>
        <w:rPr>
          <w:sz w:val="22"/>
        </w:rPr>
      </w:pPr>
      <w:r w:rsidRPr="001C0F50">
        <w:rPr>
          <w:sz w:val="22"/>
        </w:rPr>
        <w:t>Written Materials/Documents</w:t>
      </w:r>
    </w:p>
    <w:p w:rsidR="00EE03A9" w:rsidRPr="008212A9" w:rsidRDefault="001C0F50">
      <w:pPr>
        <w:pStyle w:val="BodyText"/>
        <w:numPr>
          <w:ilvl w:val="2"/>
          <w:numId w:val="19"/>
        </w:numPr>
        <w:spacing w:before="0" w:after="0" w:line="240" w:lineRule="auto"/>
        <w:rPr>
          <w:sz w:val="22"/>
        </w:rPr>
      </w:pPr>
      <w:r w:rsidRPr="001C0F50">
        <w:rPr>
          <w:sz w:val="22"/>
        </w:rPr>
        <w:t>In the body of a specification that will be kept confidential</w:t>
      </w:r>
    </w:p>
    <w:p w:rsidR="00EE03A9" w:rsidRPr="008212A9" w:rsidRDefault="001C0F50">
      <w:pPr>
        <w:pStyle w:val="BodyText"/>
        <w:numPr>
          <w:ilvl w:val="2"/>
          <w:numId w:val="19"/>
        </w:numPr>
        <w:spacing w:before="0" w:after="0" w:line="240" w:lineRule="auto"/>
        <w:rPr>
          <w:sz w:val="22"/>
        </w:rPr>
      </w:pPr>
      <w:r w:rsidRPr="001C0F50">
        <w:rPr>
          <w:sz w:val="22"/>
        </w:rPr>
        <w:t>In the body of advertisements and marketing materials3</w:t>
      </w:r>
    </w:p>
    <w:p w:rsidR="00EE03A9" w:rsidRPr="008212A9" w:rsidRDefault="001C0F50">
      <w:pPr>
        <w:pStyle w:val="BodyText"/>
        <w:numPr>
          <w:ilvl w:val="2"/>
          <w:numId w:val="19"/>
        </w:numPr>
        <w:spacing w:before="0" w:after="0" w:line="240" w:lineRule="auto"/>
        <w:rPr>
          <w:sz w:val="22"/>
        </w:rPr>
      </w:pPr>
      <w:r w:rsidRPr="001C0F50">
        <w:rPr>
          <w:sz w:val="22"/>
        </w:rPr>
        <w:t>In the header or footer of each screen or printable page of online documentation presented in HTML</w:t>
      </w:r>
    </w:p>
    <w:p w:rsidR="00EE03A9" w:rsidRPr="008212A9" w:rsidRDefault="001C0F50">
      <w:pPr>
        <w:pStyle w:val="BodyText"/>
        <w:numPr>
          <w:ilvl w:val="2"/>
          <w:numId w:val="19"/>
        </w:numPr>
        <w:spacing w:before="0" w:after="0" w:line="240" w:lineRule="auto"/>
        <w:rPr>
          <w:sz w:val="22"/>
        </w:rPr>
      </w:pPr>
      <w:r w:rsidRPr="001C0F50">
        <w:rPr>
          <w:sz w:val="22"/>
        </w:rPr>
        <w:t>At the beginning or end of each block of online documentation that can only be printed in blocks or chapters</w:t>
      </w:r>
    </w:p>
    <w:p w:rsidR="00EE03A9" w:rsidRPr="008212A9" w:rsidRDefault="001C0F50">
      <w:pPr>
        <w:pStyle w:val="BodyText"/>
        <w:numPr>
          <w:ilvl w:val="2"/>
          <w:numId w:val="19"/>
        </w:numPr>
        <w:spacing w:before="0" w:after="0" w:line="240" w:lineRule="auto"/>
        <w:rPr>
          <w:sz w:val="22"/>
        </w:rPr>
      </w:pPr>
      <w:r w:rsidRPr="001C0F50">
        <w:rPr>
          <w:sz w:val="22"/>
        </w:rPr>
        <w:t>In the first footnote of a journal, magazine or other article by NetApp to be published in a third party compilation.</w:t>
      </w:r>
    </w:p>
    <w:p w:rsidR="00EE03A9" w:rsidRPr="008212A9" w:rsidRDefault="001C0F50">
      <w:pPr>
        <w:pStyle w:val="BodyText"/>
        <w:numPr>
          <w:ilvl w:val="2"/>
          <w:numId w:val="19"/>
        </w:numPr>
        <w:spacing w:before="0" w:after="0" w:line="240" w:lineRule="auto"/>
        <w:rPr>
          <w:sz w:val="22"/>
        </w:rPr>
      </w:pPr>
      <w:r w:rsidRPr="001C0F50">
        <w:rPr>
          <w:sz w:val="22"/>
        </w:rPr>
        <w:t>Near the beginning or end of the text of a specification, if the specification is to be released (if space is a constraint)</w:t>
      </w:r>
    </w:p>
    <w:p w:rsidR="00EE03A9" w:rsidRPr="008212A9" w:rsidRDefault="001C0F50">
      <w:pPr>
        <w:pStyle w:val="BodyText"/>
        <w:numPr>
          <w:ilvl w:val="2"/>
          <w:numId w:val="19"/>
        </w:numPr>
        <w:spacing w:before="0" w:after="0" w:line="240" w:lineRule="auto"/>
        <w:rPr>
          <w:sz w:val="22"/>
        </w:rPr>
      </w:pPr>
      <w:r w:rsidRPr="001C0F50">
        <w:rPr>
          <w:sz w:val="22"/>
        </w:rPr>
        <w:t>In any “</w:t>
      </w:r>
      <w:proofErr w:type="spellStart"/>
      <w:r w:rsidRPr="001C0F50">
        <w:rPr>
          <w:sz w:val="22"/>
        </w:rPr>
        <w:t>doclets</w:t>
      </w:r>
      <w:proofErr w:type="spellEnd"/>
      <w:r w:rsidRPr="001C0F50">
        <w:rPr>
          <w:sz w:val="22"/>
        </w:rPr>
        <w:t>,” README files, release notes or other very short documentation that accompanies a product</w:t>
      </w:r>
    </w:p>
    <w:p w:rsidR="00EE03A9" w:rsidRPr="008212A9" w:rsidRDefault="001C0F50">
      <w:pPr>
        <w:pStyle w:val="BodyText"/>
        <w:numPr>
          <w:ilvl w:val="2"/>
          <w:numId w:val="19"/>
        </w:numPr>
        <w:spacing w:before="0" w:after="0" w:line="240" w:lineRule="auto"/>
        <w:rPr>
          <w:sz w:val="22"/>
        </w:rPr>
      </w:pPr>
      <w:r w:rsidRPr="001C0F50">
        <w:rPr>
          <w:sz w:val="22"/>
        </w:rPr>
        <w:t>In all documentation, including online documentation</w:t>
      </w:r>
    </w:p>
    <w:p w:rsidR="00EE03A9" w:rsidRPr="008212A9" w:rsidRDefault="001C0F50">
      <w:pPr>
        <w:pStyle w:val="BodyText"/>
        <w:numPr>
          <w:ilvl w:val="2"/>
          <w:numId w:val="19"/>
        </w:numPr>
        <w:spacing w:before="0" w:after="0" w:line="240" w:lineRule="auto"/>
        <w:rPr>
          <w:sz w:val="22"/>
        </w:rPr>
      </w:pPr>
      <w:r w:rsidRPr="001C0F50">
        <w:rPr>
          <w:sz w:val="22"/>
        </w:rPr>
        <w:t>Near the beginning or end of the text of a specification, if the specification is to be released (if space is a constraint)</w:t>
      </w:r>
    </w:p>
    <w:p w:rsidR="00EE03A9" w:rsidRPr="008212A9" w:rsidRDefault="001C0F50">
      <w:pPr>
        <w:pStyle w:val="BodyText"/>
        <w:numPr>
          <w:ilvl w:val="2"/>
          <w:numId w:val="19"/>
        </w:numPr>
        <w:spacing w:before="0" w:after="0" w:line="240" w:lineRule="auto"/>
        <w:rPr>
          <w:sz w:val="22"/>
        </w:rPr>
      </w:pPr>
      <w:r w:rsidRPr="001C0F50">
        <w:rPr>
          <w:sz w:val="22"/>
        </w:rPr>
        <w:t>On the inside or outside of the front or back cover of a book</w:t>
      </w:r>
    </w:p>
    <w:p w:rsidR="00EE03A9" w:rsidRPr="008212A9" w:rsidRDefault="001C0F50">
      <w:pPr>
        <w:pStyle w:val="BodyText"/>
        <w:numPr>
          <w:ilvl w:val="2"/>
          <w:numId w:val="19"/>
        </w:numPr>
        <w:spacing w:before="0" w:after="0" w:line="240" w:lineRule="auto"/>
        <w:rPr>
          <w:sz w:val="22"/>
        </w:rPr>
      </w:pPr>
      <w:r w:rsidRPr="001C0F50">
        <w:rPr>
          <w:sz w:val="22"/>
        </w:rPr>
        <w:t>Immediately after the title page of a white paper or PDF document</w:t>
      </w:r>
    </w:p>
    <w:p w:rsidR="00EE03A9" w:rsidRPr="008212A9" w:rsidRDefault="001C0F50">
      <w:pPr>
        <w:pStyle w:val="BodyText"/>
        <w:numPr>
          <w:ilvl w:val="2"/>
          <w:numId w:val="19"/>
        </w:numPr>
        <w:spacing w:before="0" w:after="0" w:line="240" w:lineRule="auto"/>
        <w:rPr>
          <w:sz w:val="22"/>
        </w:rPr>
      </w:pPr>
      <w:r w:rsidRPr="001C0F50">
        <w:rPr>
          <w:sz w:val="22"/>
        </w:rPr>
        <w:t>On the copyright page of a journal, magazine or other compilation, if NetApp is the author of the compilation</w:t>
      </w:r>
    </w:p>
    <w:p w:rsidR="00C21E4F" w:rsidRPr="008212A9" w:rsidRDefault="001C0F50" w:rsidP="00B31B21">
      <w:pPr>
        <w:pStyle w:val="BodyText"/>
        <w:numPr>
          <w:ilvl w:val="0"/>
          <w:numId w:val="19"/>
        </w:numPr>
        <w:rPr>
          <w:sz w:val="22"/>
        </w:rPr>
      </w:pPr>
      <w:r w:rsidRPr="001C0F50">
        <w:rPr>
          <w:sz w:val="22"/>
        </w:rPr>
        <w:t>Web Pages</w:t>
      </w:r>
    </w:p>
    <w:p w:rsidR="00EE03A9" w:rsidRPr="008212A9" w:rsidRDefault="001C0F50">
      <w:pPr>
        <w:pStyle w:val="BodyText"/>
        <w:numPr>
          <w:ilvl w:val="1"/>
          <w:numId w:val="19"/>
        </w:numPr>
        <w:spacing w:before="0" w:after="0" w:line="240" w:lineRule="auto"/>
        <w:rPr>
          <w:sz w:val="22"/>
        </w:rPr>
      </w:pPr>
      <w:r w:rsidRPr="001C0F50">
        <w:rPr>
          <w:sz w:val="22"/>
        </w:rPr>
        <w:t xml:space="preserve">NetApp's web pages, by default, include the standard NetApp web pages “footer” which includes the proper legal notices so individual/separate legal notices on each page are not required. However, </w:t>
      </w:r>
      <w:proofErr w:type="spellStart"/>
      <w:r w:rsidRPr="001C0F50">
        <w:rPr>
          <w:sz w:val="22"/>
        </w:rPr>
        <w:t>pdf</w:t>
      </w:r>
      <w:proofErr w:type="spellEnd"/>
      <w:r w:rsidRPr="001C0F50">
        <w:rPr>
          <w:sz w:val="22"/>
        </w:rPr>
        <w:t xml:space="preserve"> pages whose content appears on a web page and which may be downloaded to be a standalone document should include the proper legal notices. </w:t>
      </w:r>
    </w:p>
    <w:p w:rsidR="00041C54" w:rsidRPr="008212A9" w:rsidRDefault="00041C54" w:rsidP="00041C54">
      <w:pPr>
        <w:autoSpaceDE w:val="0"/>
        <w:autoSpaceDN w:val="0"/>
        <w:adjustRightInd w:val="0"/>
        <w:spacing w:after="0"/>
        <w:rPr>
          <w:rFonts w:ascii="Times New Roman" w:hAnsi="Times New Roman"/>
          <w:b/>
          <w:bCs/>
          <w:color w:val="000000"/>
          <w:sz w:val="22"/>
          <w:szCs w:val="22"/>
        </w:rPr>
      </w:pPr>
    </w:p>
    <w:p w:rsidR="00041C54" w:rsidRPr="008212A9" w:rsidRDefault="001C0F50" w:rsidP="00B31B21">
      <w:pPr>
        <w:pStyle w:val="BodyText"/>
        <w:numPr>
          <w:ilvl w:val="0"/>
          <w:numId w:val="16"/>
        </w:numPr>
        <w:rPr>
          <w:b/>
          <w:sz w:val="22"/>
        </w:rPr>
      </w:pPr>
      <w:r w:rsidRPr="001C0F50">
        <w:rPr>
          <w:b/>
          <w:sz w:val="22"/>
        </w:rPr>
        <w:t xml:space="preserve">Affix Copyright Notice in each location identified.  </w:t>
      </w:r>
    </w:p>
    <w:p w:rsidR="001C0F50" w:rsidRPr="001C0F50" w:rsidRDefault="001C0F50" w:rsidP="001C0F50">
      <w:pPr>
        <w:pStyle w:val="BodyText"/>
        <w:ind w:left="360"/>
        <w:rPr>
          <w:sz w:val="22"/>
        </w:rPr>
      </w:pPr>
      <w:r w:rsidRPr="001C0F50">
        <w:rPr>
          <w:sz w:val="22"/>
        </w:rPr>
        <w:t xml:space="preserve">Copyright  Notices should be affixed on all possible locations associated with the work or product. For example, if the product is software, notices should be included in the program's screens, interfaces, code, and documentation that NetApp releases into the public domain. If the product is a hardware device that contains software, notices should be affixed on the hardware itself, on the screens, interfaces and code of the software, and in the documentation and related websites. Contact NetApp Legal (dl-legal) if space constraints make notice compliance difficult. </w:t>
      </w:r>
    </w:p>
    <w:p w:rsidR="00041C54" w:rsidRPr="008212A9" w:rsidRDefault="00041C54" w:rsidP="00041C54">
      <w:pPr>
        <w:autoSpaceDE w:val="0"/>
        <w:autoSpaceDN w:val="0"/>
        <w:adjustRightInd w:val="0"/>
        <w:spacing w:after="0"/>
        <w:rPr>
          <w:rFonts w:ascii="Times New Roman" w:hAnsi="Times New Roman"/>
          <w:color w:val="000000"/>
          <w:sz w:val="22"/>
          <w:szCs w:val="22"/>
        </w:rPr>
      </w:pPr>
    </w:p>
    <w:p w:rsidR="00041C54" w:rsidRPr="008212A9" w:rsidRDefault="001C0F50" w:rsidP="00B31B21">
      <w:pPr>
        <w:pStyle w:val="BodyText"/>
        <w:numPr>
          <w:ilvl w:val="0"/>
          <w:numId w:val="16"/>
        </w:numPr>
        <w:rPr>
          <w:b/>
          <w:sz w:val="22"/>
        </w:rPr>
      </w:pPr>
      <w:r w:rsidRPr="001C0F50">
        <w:rPr>
          <w:b/>
          <w:sz w:val="22"/>
        </w:rPr>
        <w:t>Technical suggestions for affixing legal notices.</w:t>
      </w:r>
    </w:p>
    <w:p w:rsidR="001C0F50" w:rsidRPr="001C0F50" w:rsidRDefault="001C0F50" w:rsidP="001C0F50">
      <w:pPr>
        <w:pStyle w:val="BodyText"/>
        <w:ind w:left="360"/>
        <w:rPr>
          <w:sz w:val="22"/>
        </w:rPr>
      </w:pPr>
      <w:r w:rsidRPr="001C0F50">
        <w:rPr>
          <w:sz w:val="22"/>
        </w:rPr>
        <w:t xml:space="preserve">Source code notice should be placed in the comments at the top of each separable and significant module of code that was developed or modified by NetApp and in each software package (e.g., directories or files). </w:t>
      </w:r>
    </w:p>
    <w:tbl>
      <w:tblPr>
        <w:tblW w:w="9007" w:type="dxa"/>
        <w:tblInd w:w="468" w:type="dxa"/>
        <w:tblBorders>
          <w:top w:val="single" w:sz="8" w:space="0" w:color="4F81BD"/>
          <w:left w:val="single" w:sz="8" w:space="0" w:color="4F81BD"/>
          <w:bottom w:val="single" w:sz="8" w:space="0" w:color="4F81BD"/>
          <w:right w:val="single" w:sz="8" w:space="0" w:color="4F81BD"/>
        </w:tblBorders>
        <w:tblLook w:val="04A0"/>
      </w:tblPr>
      <w:tblGrid>
        <w:gridCol w:w="9007"/>
      </w:tblGrid>
      <w:tr w:rsidR="00F9252B" w:rsidRPr="008212A9" w:rsidTr="00F9252B">
        <w:trPr>
          <w:cantSplit/>
        </w:trPr>
        <w:tc>
          <w:tcPr>
            <w:tcW w:w="9007" w:type="dxa"/>
            <w:tcBorders>
              <w:top w:val="single" w:sz="8" w:space="0" w:color="4F81BD"/>
              <w:left w:val="single" w:sz="8" w:space="0" w:color="4F81BD"/>
              <w:bottom w:val="single" w:sz="8" w:space="0" w:color="4F81BD"/>
              <w:right w:val="single" w:sz="8" w:space="0" w:color="4F81BD"/>
              <w:tl2br w:val="nil"/>
              <w:tr2bl w:val="nil"/>
            </w:tcBorders>
            <w:shd w:val="clear" w:color="auto" w:fill="4F81BD"/>
          </w:tcPr>
          <w:p w:rsidR="00F9252B" w:rsidRPr="008212A9" w:rsidRDefault="001C0F50" w:rsidP="003A7153">
            <w:pPr>
              <w:pStyle w:val="TableHeading"/>
              <w:rPr>
                <w:sz w:val="22"/>
                <w:szCs w:val="22"/>
              </w:rPr>
            </w:pPr>
            <w:r w:rsidRPr="001C0F50">
              <w:rPr>
                <w:sz w:val="22"/>
                <w:szCs w:val="22"/>
              </w:rPr>
              <w:t>Note</w:t>
            </w:r>
          </w:p>
        </w:tc>
      </w:tr>
      <w:tr w:rsidR="00F9252B" w:rsidRPr="008212A9" w:rsidTr="00F9252B">
        <w:trPr>
          <w:cantSplit/>
        </w:trPr>
        <w:tc>
          <w:tcPr>
            <w:tcW w:w="9007" w:type="dxa"/>
          </w:tcPr>
          <w:p w:rsidR="00F9252B" w:rsidRPr="008212A9" w:rsidRDefault="001C0F50" w:rsidP="003A7153">
            <w:pPr>
              <w:pStyle w:val="BodyText"/>
              <w:rPr>
                <w:sz w:val="22"/>
              </w:rPr>
            </w:pPr>
            <w:r w:rsidRPr="001C0F50">
              <w:rPr>
                <w:sz w:val="22"/>
              </w:rPr>
              <w:t>Only files that were modified for a given release need to include a modified (updated) legal notice.</w:t>
            </w:r>
          </w:p>
        </w:tc>
      </w:tr>
    </w:tbl>
    <w:p w:rsidR="00EE03A9" w:rsidRPr="008212A9" w:rsidRDefault="001C0F50">
      <w:pPr>
        <w:pStyle w:val="BodyText"/>
        <w:ind w:left="360"/>
        <w:rPr>
          <w:sz w:val="22"/>
        </w:rPr>
      </w:pPr>
      <w:r w:rsidRPr="001C0F50">
        <w:rPr>
          <w:sz w:val="22"/>
        </w:rPr>
        <w:t xml:space="preserve">Object code notice should be made an inescapable part of the executable code that will be readable in a print out of the executable file. There are multiple methods to accomplish this when writing the source code. One method is to define a literal value to be the copyright notice text. A second method is to declare a variable to have a literal value, define the literal value as the copyright notice text in ASCII and then refrain from using that variable elsewhere. The compiler or assembler will create a variable with this value in the code; the variable is unused but causes the copyright notice to show up in ASCII in the object code when a </w:t>
      </w:r>
      <w:proofErr w:type="spellStart"/>
      <w:r w:rsidRPr="001C0F50">
        <w:rPr>
          <w:sz w:val="22"/>
        </w:rPr>
        <w:t>disassembler</w:t>
      </w:r>
      <w:proofErr w:type="spellEnd"/>
      <w:r w:rsidRPr="001C0F50">
        <w:rPr>
          <w:sz w:val="22"/>
        </w:rPr>
        <w:t xml:space="preserve"> or debugger is used to view the object code.</w:t>
      </w:r>
    </w:p>
    <w:p w:rsidR="00EE03A9" w:rsidRPr="008212A9" w:rsidRDefault="001C0F50">
      <w:pPr>
        <w:pStyle w:val="BodyText"/>
        <w:ind w:left="360"/>
        <w:rPr>
          <w:sz w:val="22"/>
        </w:rPr>
      </w:pPr>
      <w:r w:rsidRPr="001C0F50">
        <w:rPr>
          <w:sz w:val="22"/>
        </w:rPr>
        <w:t>Notices attached to physical media or hardware must be permanently and durably affixed.</w:t>
      </w:r>
    </w:p>
    <w:p w:rsidR="00041C54" w:rsidRPr="008212A9" w:rsidRDefault="001C0F50" w:rsidP="00041C54">
      <w:pPr>
        <w:rPr>
          <w:rFonts w:asciiTheme="majorHAnsi" w:eastAsiaTheme="majorEastAsia" w:hAnsiTheme="majorHAnsi" w:cstheme="majorBidi"/>
          <w:b/>
          <w:bCs/>
          <w:color w:val="365F91" w:themeColor="accent1" w:themeShade="BF"/>
          <w:sz w:val="22"/>
          <w:szCs w:val="22"/>
        </w:rPr>
      </w:pPr>
      <w:r w:rsidRPr="001C0F50">
        <w:rPr>
          <w:sz w:val="22"/>
          <w:szCs w:val="22"/>
        </w:rPr>
        <w:br w:type="page"/>
      </w:r>
    </w:p>
    <w:p w:rsidR="003A7153" w:rsidRPr="008212A9" w:rsidRDefault="001C0F50">
      <w:pPr>
        <w:pStyle w:val="Heading1"/>
        <w:numPr>
          <w:ilvl w:val="0"/>
          <w:numId w:val="0"/>
        </w:numPr>
        <w:jc w:val="center"/>
        <w:rPr>
          <w:sz w:val="22"/>
          <w:szCs w:val="22"/>
        </w:rPr>
      </w:pPr>
      <w:bookmarkStart w:id="44" w:name="_Toc301531218"/>
      <w:bookmarkStart w:id="45" w:name="_Toc301783569"/>
      <w:r w:rsidRPr="001C0F50">
        <w:rPr>
          <w:sz w:val="22"/>
          <w:szCs w:val="22"/>
        </w:rPr>
        <w:t>APPENDIX B – Frequently Asked Questions (FAQs)</w:t>
      </w:r>
      <w:bookmarkEnd w:id="44"/>
      <w:bookmarkEnd w:id="45"/>
    </w:p>
    <w:p w:rsidR="00041C54" w:rsidRPr="008212A9" w:rsidRDefault="00041C54" w:rsidP="00041C54">
      <w:pPr>
        <w:autoSpaceDE w:val="0"/>
        <w:autoSpaceDN w:val="0"/>
        <w:adjustRightInd w:val="0"/>
        <w:spacing w:after="0"/>
        <w:rPr>
          <w:rFonts w:ascii="Times New Roman" w:hAnsi="Times New Roman"/>
          <w:b/>
          <w:bCs/>
          <w:sz w:val="22"/>
          <w:szCs w:val="22"/>
        </w:rPr>
      </w:pPr>
    </w:p>
    <w:p w:rsidR="00041C54" w:rsidRPr="008212A9" w:rsidRDefault="001C0F50" w:rsidP="00B31B21">
      <w:pPr>
        <w:pStyle w:val="BodyText"/>
        <w:numPr>
          <w:ilvl w:val="0"/>
          <w:numId w:val="20"/>
        </w:numPr>
        <w:rPr>
          <w:b/>
          <w:sz w:val="22"/>
        </w:rPr>
      </w:pPr>
      <w:r w:rsidRPr="001C0F50">
        <w:rPr>
          <w:b/>
          <w:sz w:val="22"/>
        </w:rPr>
        <w:t>What are Copyright  Notices?</w:t>
      </w:r>
    </w:p>
    <w:p w:rsidR="00EE03A9" w:rsidRPr="008212A9" w:rsidRDefault="001C0F50">
      <w:pPr>
        <w:pStyle w:val="BodyText"/>
        <w:ind w:left="360"/>
        <w:rPr>
          <w:sz w:val="22"/>
        </w:rPr>
      </w:pPr>
      <w:r w:rsidRPr="001C0F50">
        <w:rPr>
          <w:sz w:val="22"/>
        </w:rPr>
        <w:t>Copyright  Notices appear on and in NetApp's software, product documentation, marketing collateral, websites, and other published material to provide notice to the public that NetApp owns intellectual property rights under copyright and trademark laws to the published material. For more detailed information about legal notices and their proper usage, consult the NetApp Copyright  Notices Playbook.</w:t>
      </w:r>
    </w:p>
    <w:p w:rsidR="00A2021B" w:rsidRPr="008212A9" w:rsidRDefault="00A2021B" w:rsidP="00A2021B">
      <w:pPr>
        <w:pStyle w:val="BodyText"/>
        <w:ind w:left="360"/>
        <w:rPr>
          <w:b/>
          <w:sz w:val="22"/>
        </w:rPr>
      </w:pPr>
    </w:p>
    <w:p w:rsidR="00041C54" w:rsidRPr="008212A9" w:rsidRDefault="001C0F50" w:rsidP="00B31B21">
      <w:pPr>
        <w:pStyle w:val="BodyText"/>
        <w:numPr>
          <w:ilvl w:val="0"/>
          <w:numId w:val="20"/>
        </w:numPr>
        <w:rPr>
          <w:b/>
          <w:sz w:val="22"/>
        </w:rPr>
      </w:pPr>
      <w:r w:rsidRPr="001C0F50">
        <w:rPr>
          <w:b/>
          <w:sz w:val="22"/>
        </w:rPr>
        <w:t xml:space="preserve">What are the differences between </w:t>
      </w:r>
      <w:r w:rsidR="00CA2119">
        <w:rPr>
          <w:b/>
          <w:sz w:val="22"/>
        </w:rPr>
        <w:t>a copyright notice</w:t>
      </w:r>
      <w:r w:rsidRPr="001C0F50">
        <w:rPr>
          <w:b/>
          <w:sz w:val="22"/>
        </w:rPr>
        <w:t xml:space="preserve"> and license?</w:t>
      </w:r>
    </w:p>
    <w:p w:rsidR="00EE03A9" w:rsidRPr="008212A9" w:rsidRDefault="001C0F50">
      <w:pPr>
        <w:pStyle w:val="BodyText"/>
        <w:ind w:left="360"/>
        <w:rPr>
          <w:sz w:val="22"/>
        </w:rPr>
      </w:pPr>
      <w:r w:rsidRPr="001C0F50">
        <w:rPr>
          <w:sz w:val="22"/>
        </w:rPr>
        <w:t xml:space="preserve">A copyright  notice is a type of legal notice which notifies others of NetApp’s copyright in a published work.  In contrast, a license is an agreement between parties which identifies the terms and conditions under which certain material (e.g., licensed, copyrighted material) may be used, displayed, or modified.  </w:t>
      </w:r>
    </w:p>
    <w:p w:rsidR="00EE03A9" w:rsidRPr="008212A9" w:rsidRDefault="00EE03A9">
      <w:pPr>
        <w:pStyle w:val="BodyText"/>
        <w:ind w:left="360"/>
        <w:rPr>
          <w:sz w:val="22"/>
        </w:rPr>
      </w:pPr>
    </w:p>
    <w:p w:rsidR="00041C54" w:rsidRPr="008212A9" w:rsidRDefault="001C0F50" w:rsidP="00B31B21">
      <w:pPr>
        <w:pStyle w:val="BodyText"/>
        <w:numPr>
          <w:ilvl w:val="0"/>
          <w:numId w:val="20"/>
        </w:numPr>
        <w:rPr>
          <w:b/>
          <w:sz w:val="22"/>
        </w:rPr>
      </w:pPr>
      <w:r w:rsidRPr="001C0F50">
        <w:rPr>
          <w:b/>
          <w:sz w:val="22"/>
        </w:rPr>
        <w:t>When is a confidentiality notice necessary?</w:t>
      </w:r>
    </w:p>
    <w:p w:rsidR="00041C54" w:rsidRPr="008212A9" w:rsidRDefault="001C0F50" w:rsidP="00335D3C">
      <w:pPr>
        <w:pStyle w:val="BodyText"/>
        <w:ind w:left="360"/>
        <w:rPr>
          <w:sz w:val="22"/>
        </w:rPr>
      </w:pPr>
      <w:r w:rsidRPr="001C0F50">
        <w:rPr>
          <w:sz w:val="22"/>
        </w:rPr>
        <w:t xml:space="preserve">In general, when a possibility exists for NetApp proprietary information to be shared outside of NetApp (including a partner, vendor or other 3rd party), then a confidential notice should be attached.  Additional information regarding NetApp’s information classification policy is available at: </w:t>
      </w:r>
      <w:hyperlink r:id="rId22" w:history="1">
        <w:r w:rsidRPr="001C0F50">
          <w:rPr>
            <w:sz w:val="22"/>
          </w:rPr>
          <w:t>http://legal-web.corp.netapp.com/legal/igb/information_classification.html</w:t>
        </w:r>
      </w:hyperlink>
      <w:r w:rsidRPr="001C0F50">
        <w:rPr>
          <w:sz w:val="22"/>
        </w:rPr>
        <w:t>.</w:t>
      </w:r>
    </w:p>
    <w:p w:rsidR="00335D3C" w:rsidRPr="008212A9" w:rsidRDefault="00335D3C" w:rsidP="00335D3C">
      <w:pPr>
        <w:pStyle w:val="BodyText"/>
        <w:ind w:left="360"/>
        <w:rPr>
          <w:sz w:val="22"/>
        </w:rPr>
      </w:pPr>
    </w:p>
    <w:p w:rsidR="00041C54" w:rsidRPr="008212A9" w:rsidRDefault="001C0F50" w:rsidP="00B31B21">
      <w:pPr>
        <w:pStyle w:val="BodyText"/>
        <w:numPr>
          <w:ilvl w:val="0"/>
          <w:numId w:val="20"/>
        </w:numPr>
        <w:rPr>
          <w:b/>
          <w:sz w:val="22"/>
        </w:rPr>
      </w:pPr>
      <w:r w:rsidRPr="001C0F50">
        <w:rPr>
          <w:b/>
          <w:sz w:val="22"/>
        </w:rPr>
        <w:t>When is a copyright notice required?</w:t>
      </w:r>
    </w:p>
    <w:p w:rsidR="00335D3C" w:rsidRPr="008212A9" w:rsidRDefault="001C0F50" w:rsidP="00335D3C">
      <w:pPr>
        <w:pStyle w:val="BodyText"/>
        <w:ind w:left="360"/>
        <w:rPr>
          <w:sz w:val="22"/>
        </w:rPr>
      </w:pPr>
      <w:r w:rsidRPr="001C0F50">
        <w:rPr>
          <w:sz w:val="22"/>
        </w:rPr>
        <w:t>A copyright notice informs or notifies the public of NetApp’s rights in a copyrighted work.  As a general policy, all original, published works should include a copyright notice.  However, the type and placement of the notice may vary depending on the nature of the work. Consult the NetApp Copyright  Notices Playbook or contact Legal for further information on notice requirements.</w:t>
      </w:r>
    </w:p>
    <w:p w:rsidR="00041C54" w:rsidRPr="008212A9" w:rsidRDefault="001C0F50" w:rsidP="00E33101">
      <w:pPr>
        <w:pStyle w:val="BodyText"/>
        <w:rPr>
          <w:sz w:val="22"/>
        </w:rPr>
      </w:pPr>
      <w:r w:rsidRPr="001C0F50">
        <w:rPr>
          <w:sz w:val="22"/>
        </w:rPr>
        <w:t xml:space="preserve"> </w:t>
      </w:r>
    </w:p>
    <w:p w:rsidR="00041C54" w:rsidRPr="008212A9" w:rsidRDefault="001C0F50" w:rsidP="00B31B21">
      <w:pPr>
        <w:pStyle w:val="BodyText"/>
        <w:numPr>
          <w:ilvl w:val="0"/>
          <w:numId w:val="20"/>
        </w:numPr>
        <w:rPr>
          <w:b/>
          <w:sz w:val="22"/>
        </w:rPr>
      </w:pPr>
      <w:r w:rsidRPr="001C0F50">
        <w:rPr>
          <w:b/>
          <w:sz w:val="22"/>
        </w:rPr>
        <w:t>When should a multiple range of years be used?</w:t>
      </w:r>
    </w:p>
    <w:p w:rsidR="00EE03A9" w:rsidRPr="008212A9" w:rsidRDefault="001C0F50">
      <w:pPr>
        <w:pStyle w:val="BodyText"/>
        <w:ind w:left="360"/>
        <w:rPr>
          <w:sz w:val="22"/>
        </w:rPr>
      </w:pPr>
      <w:r w:rsidRPr="001C0F50">
        <w:rPr>
          <w:sz w:val="22"/>
        </w:rPr>
        <w:t>Under current U.S. law, single-date copyright notices are always proper. However, in the case of compilations, or derivative works incorporating previously published material, the year of first publication of the source and each year significant modifications are made to the source may comprise the multiple range of years in a copyright notice.</w:t>
      </w:r>
    </w:p>
    <w:p w:rsidR="00EE03A9" w:rsidRPr="008212A9" w:rsidRDefault="001C0F50">
      <w:pPr>
        <w:pStyle w:val="BodyText"/>
        <w:ind w:left="720"/>
        <w:rPr>
          <w:sz w:val="22"/>
        </w:rPr>
      </w:pPr>
      <w:r w:rsidRPr="001C0F50">
        <w:rPr>
          <w:sz w:val="22"/>
          <w:u w:val="single"/>
        </w:rPr>
        <w:t>Example</w:t>
      </w:r>
      <w:r w:rsidRPr="001C0F50">
        <w:rPr>
          <w:sz w:val="22"/>
        </w:rPr>
        <w:t xml:space="preserve">:  If version 1.0 of a software program is released in 2007, and version 2.0 in 2009, then a proper copyright notice for version 2.0 would be "Copyright © 2007 NetApp, Inc. All rights reserved." For the copyright notice that appears in source code files, a single copyright date should be used. The copyright date is updated if the source code file is changed for a new software revision; files not changed in the revision retain their old copyright dates. </w:t>
      </w:r>
    </w:p>
    <w:p w:rsidR="00EE03A9" w:rsidRPr="008212A9" w:rsidRDefault="001C0F50">
      <w:pPr>
        <w:pStyle w:val="BodyText"/>
        <w:ind w:left="360"/>
        <w:rPr>
          <w:sz w:val="22"/>
        </w:rPr>
      </w:pPr>
      <w:r w:rsidRPr="001C0F50">
        <w:rPr>
          <w:sz w:val="22"/>
        </w:rPr>
        <w:t xml:space="preserve">Multiple-date notices are optional, but may provide certain legal benefits as it relates to establishing the senior rights of a copyright owner or the expiration of a copyright. If a published work has multiple versions and each version is sufficiently different from earlier versions, that version's date may be added to the list of dates in the copyright notice. </w:t>
      </w:r>
    </w:p>
    <w:p w:rsidR="00EE03A9" w:rsidRPr="008212A9" w:rsidRDefault="001C0F50">
      <w:pPr>
        <w:pStyle w:val="BodyText"/>
        <w:ind w:left="720"/>
        <w:rPr>
          <w:sz w:val="22"/>
        </w:rPr>
      </w:pPr>
      <w:r w:rsidRPr="001C0F50">
        <w:rPr>
          <w:sz w:val="22"/>
          <w:u w:val="single"/>
        </w:rPr>
        <w:t>Example</w:t>
      </w:r>
      <w:r w:rsidRPr="001C0F50">
        <w:rPr>
          <w:sz w:val="22"/>
        </w:rPr>
        <w:t>:  A program called My Program appears in the following versions:</w:t>
      </w:r>
    </w:p>
    <w:p w:rsidR="00EE03A9" w:rsidRPr="008212A9" w:rsidRDefault="001C0F50">
      <w:pPr>
        <w:pStyle w:val="BodyText"/>
        <w:spacing w:before="0" w:after="0" w:line="240" w:lineRule="auto"/>
        <w:ind w:left="1440"/>
        <w:rPr>
          <w:sz w:val="22"/>
        </w:rPr>
      </w:pPr>
      <w:r w:rsidRPr="001C0F50">
        <w:rPr>
          <w:sz w:val="22"/>
        </w:rPr>
        <w:t>version 1.0 -- 2000</w:t>
      </w:r>
    </w:p>
    <w:p w:rsidR="00EE03A9" w:rsidRPr="008212A9" w:rsidRDefault="001C0F50">
      <w:pPr>
        <w:pStyle w:val="BodyText"/>
        <w:spacing w:before="0" w:after="0" w:line="240" w:lineRule="auto"/>
        <w:ind w:left="1440"/>
        <w:rPr>
          <w:sz w:val="22"/>
        </w:rPr>
      </w:pPr>
      <w:r w:rsidRPr="001C0F50">
        <w:rPr>
          <w:sz w:val="22"/>
        </w:rPr>
        <w:t>version 1.1 -- 2000</w:t>
      </w:r>
    </w:p>
    <w:p w:rsidR="00EE03A9" w:rsidRPr="008212A9" w:rsidRDefault="001C0F50">
      <w:pPr>
        <w:pStyle w:val="BodyText"/>
        <w:spacing w:before="0" w:after="0" w:line="240" w:lineRule="auto"/>
        <w:ind w:left="1440"/>
        <w:rPr>
          <w:sz w:val="22"/>
        </w:rPr>
      </w:pPr>
      <w:r w:rsidRPr="001C0F50">
        <w:rPr>
          <w:sz w:val="22"/>
        </w:rPr>
        <w:t>version 1.2 -- 2001</w:t>
      </w:r>
    </w:p>
    <w:p w:rsidR="00EE03A9" w:rsidRPr="008212A9" w:rsidRDefault="001C0F50">
      <w:pPr>
        <w:pStyle w:val="BodyText"/>
        <w:spacing w:before="0" w:after="0" w:line="240" w:lineRule="auto"/>
        <w:ind w:left="1440"/>
        <w:rPr>
          <w:sz w:val="22"/>
        </w:rPr>
      </w:pPr>
      <w:r w:rsidRPr="001C0F50">
        <w:rPr>
          <w:sz w:val="22"/>
        </w:rPr>
        <w:t>version 2.0 -- 2003</w:t>
      </w:r>
    </w:p>
    <w:p w:rsidR="00EE03A9" w:rsidRPr="008212A9" w:rsidRDefault="001C0F50">
      <w:pPr>
        <w:pStyle w:val="BodyText"/>
        <w:spacing w:before="0" w:after="0" w:line="240" w:lineRule="auto"/>
        <w:ind w:left="1440"/>
        <w:rPr>
          <w:sz w:val="22"/>
        </w:rPr>
      </w:pPr>
      <w:r w:rsidRPr="001C0F50">
        <w:rPr>
          <w:sz w:val="22"/>
        </w:rPr>
        <w:t>version 2.1 -- 2004</w:t>
      </w:r>
    </w:p>
    <w:p w:rsidR="00EE03A9" w:rsidRPr="008212A9" w:rsidRDefault="001C0F50">
      <w:pPr>
        <w:pStyle w:val="BodyText"/>
        <w:spacing w:before="0" w:after="0" w:line="240" w:lineRule="auto"/>
        <w:ind w:left="1440"/>
        <w:rPr>
          <w:sz w:val="22"/>
        </w:rPr>
      </w:pPr>
      <w:r w:rsidRPr="001C0F50">
        <w:rPr>
          <w:sz w:val="22"/>
        </w:rPr>
        <w:t>version 3.0 -- 2006</w:t>
      </w:r>
    </w:p>
    <w:p w:rsidR="00EE03A9" w:rsidRPr="008212A9" w:rsidRDefault="001C0F50">
      <w:pPr>
        <w:pStyle w:val="BodyText"/>
        <w:spacing w:before="0" w:after="0" w:line="240" w:lineRule="auto"/>
        <w:ind w:left="1440"/>
        <w:rPr>
          <w:sz w:val="22"/>
        </w:rPr>
      </w:pPr>
      <w:r w:rsidRPr="001C0F50">
        <w:rPr>
          <w:sz w:val="22"/>
        </w:rPr>
        <w:t>version 3.1 -- 2009 (current version)</w:t>
      </w:r>
    </w:p>
    <w:p w:rsidR="00EE03A9" w:rsidRPr="008212A9" w:rsidRDefault="001C0F50">
      <w:pPr>
        <w:pStyle w:val="BodyText"/>
        <w:ind w:left="720"/>
        <w:rPr>
          <w:sz w:val="22"/>
        </w:rPr>
      </w:pPr>
      <w:r w:rsidRPr="001C0F50">
        <w:rPr>
          <w:sz w:val="22"/>
        </w:rPr>
        <w:t xml:space="preserve">Then the following copyright notice may be used for version 3.1: “Copyright © 2000, 2003, 2006, 2009 NetApp, Inc. All rights reserved.” </w:t>
      </w:r>
    </w:p>
    <w:p w:rsidR="00041C54" w:rsidRPr="008212A9" w:rsidRDefault="001C0F50" w:rsidP="00A2021B">
      <w:pPr>
        <w:pStyle w:val="BodyText"/>
        <w:ind w:left="720"/>
        <w:rPr>
          <w:sz w:val="22"/>
        </w:rPr>
      </w:pPr>
      <w:r w:rsidRPr="001C0F50">
        <w:rPr>
          <w:sz w:val="22"/>
          <w:u w:val="single"/>
        </w:rPr>
        <w:t>Example</w:t>
      </w:r>
      <w:r w:rsidRPr="001C0F50">
        <w:rPr>
          <w:sz w:val="22"/>
        </w:rPr>
        <w:t xml:space="preserve">:  NetApp's corporate external web site is routinely updated on a continuous basis. Thus, the following notice may be used:  “Copyright © 1994-2009 NetApp, Inc. All rights reserved.” </w:t>
      </w:r>
    </w:p>
    <w:p w:rsidR="00EE03A9" w:rsidRPr="008212A9" w:rsidRDefault="001C0F50">
      <w:pPr>
        <w:pStyle w:val="BodyText"/>
        <w:ind w:left="720"/>
        <w:rPr>
          <w:sz w:val="22"/>
        </w:rPr>
      </w:pPr>
      <w:r w:rsidRPr="001C0F50">
        <w:rPr>
          <w:sz w:val="22"/>
        </w:rPr>
        <w:t xml:space="preserve">In this example, the copyright date range includes the first (1994) and the current (2009) years of publication. Content (e.g., graphics, individual web pages) is modified or added to the site as time goes on to result in a derivative compilation work with each new change. Individual contributions to the compilation, such as individual web pages, can also bear their own, single-date copyright notices, in addition to the notice for the compilation as a whole. </w:t>
      </w:r>
    </w:p>
    <w:p w:rsidR="00EE03A9" w:rsidRPr="008212A9" w:rsidRDefault="00EE03A9">
      <w:pPr>
        <w:pStyle w:val="BodyText"/>
        <w:ind w:left="720"/>
        <w:rPr>
          <w:sz w:val="22"/>
        </w:rPr>
      </w:pPr>
    </w:p>
    <w:p w:rsidR="00041C54" w:rsidRPr="008212A9" w:rsidRDefault="001C0F50" w:rsidP="00B31B21">
      <w:pPr>
        <w:pStyle w:val="BodyText"/>
        <w:numPr>
          <w:ilvl w:val="0"/>
          <w:numId w:val="20"/>
        </w:numPr>
        <w:rPr>
          <w:b/>
          <w:sz w:val="22"/>
        </w:rPr>
      </w:pPr>
      <w:r w:rsidRPr="001C0F50">
        <w:rPr>
          <w:b/>
          <w:sz w:val="22"/>
        </w:rPr>
        <w:t>Which date should be used for software coded in the previous year but released in the current year?</w:t>
      </w:r>
    </w:p>
    <w:p w:rsidR="00EE03A9" w:rsidRPr="008212A9" w:rsidRDefault="001C0F50">
      <w:pPr>
        <w:pStyle w:val="BodyText"/>
        <w:ind w:left="360"/>
        <w:rPr>
          <w:sz w:val="22"/>
        </w:rPr>
      </w:pPr>
      <w:r w:rsidRPr="001C0F50">
        <w:rPr>
          <w:sz w:val="22"/>
        </w:rPr>
        <w:t xml:space="preserve">A copyright notice should include the year in which the software will release, even if the software was written the year before. </w:t>
      </w:r>
    </w:p>
    <w:p w:rsidR="00041C54" w:rsidRPr="008212A9" w:rsidRDefault="00041C54" w:rsidP="00E33101">
      <w:pPr>
        <w:pStyle w:val="BodyText"/>
        <w:rPr>
          <w:sz w:val="22"/>
        </w:rPr>
      </w:pPr>
    </w:p>
    <w:p w:rsidR="00041C54" w:rsidRPr="008212A9" w:rsidRDefault="001C0F50" w:rsidP="00B31B21">
      <w:pPr>
        <w:pStyle w:val="BodyText"/>
        <w:numPr>
          <w:ilvl w:val="0"/>
          <w:numId w:val="20"/>
        </w:numPr>
        <w:rPr>
          <w:b/>
          <w:sz w:val="22"/>
        </w:rPr>
      </w:pPr>
      <w:r w:rsidRPr="001C0F50">
        <w:rPr>
          <w:b/>
          <w:sz w:val="22"/>
        </w:rPr>
        <w:t>Can I remove Copyright  notices related to 3</w:t>
      </w:r>
      <w:r w:rsidRPr="001C0F50">
        <w:rPr>
          <w:sz w:val="22"/>
          <w:vertAlign w:val="superscript"/>
        </w:rPr>
        <w:t>rd</w:t>
      </w:r>
      <w:r w:rsidRPr="001C0F50">
        <w:rPr>
          <w:b/>
          <w:sz w:val="22"/>
        </w:rPr>
        <w:t xml:space="preserve"> party materials or contributions contained in the product?</w:t>
      </w:r>
    </w:p>
    <w:p w:rsidR="00CA2119" w:rsidRPr="008212A9" w:rsidRDefault="001C0F50" w:rsidP="00CA2119">
      <w:pPr>
        <w:pStyle w:val="BodyText"/>
        <w:ind w:left="360"/>
        <w:rPr>
          <w:sz w:val="22"/>
        </w:rPr>
      </w:pPr>
      <w:r w:rsidRPr="001C0F50">
        <w:rPr>
          <w:sz w:val="22"/>
        </w:rPr>
        <w:t>If the product contains both NetApp and 3</w:t>
      </w:r>
      <w:r w:rsidRPr="001C0F50">
        <w:rPr>
          <w:sz w:val="22"/>
          <w:vertAlign w:val="superscript"/>
        </w:rPr>
        <w:t>rd</w:t>
      </w:r>
      <w:r w:rsidRPr="001C0F50">
        <w:rPr>
          <w:sz w:val="22"/>
        </w:rPr>
        <w:t xml:space="preserve"> party materials and contributions, no legal information or license information of the 3</w:t>
      </w:r>
      <w:r w:rsidRPr="001C0F50">
        <w:rPr>
          <w:sz w:val="22"/>
          <w:vertAlign w:val="superscript"/>
        </w:rPr>
        <w:t>rd</w:t>
      </w:r>
      <w:r w:rsidRPr="001C0F50">
        <w:rPr>
          <w:sz w:val="22"/>
        </w:rPr>
        <w:t xml:space="preserve"> party should be removed from licenses or legal notices without express written permission from the 3</w:t>
      </w:r>
      <w:r w:rsidRPr="001C0F50">
        <w:rPr>
          <w:sz w:val="22"/>
          <w:vertAlign w:val="superscript"/>
        </w:rPr>
        <w:t>rd</w:t>
      </w:r>
      <w:r w:rsidRPr="001C0F50">
        <w:rPr>
          <w:sz w:val="22"/>
        </w:rPr>
        <w:t xml:space="preserve"> party owner. </w:t>
      </w:r>
      <w:r w:rsidR="00CA2119">
        <w:rPr>
          <w:sz w:val="22"/>
        </w:rPr>
        <w:t xml:space="preserve">Please </w:t>
      </w:r>
      <w:r w:rsidRPr="001C0F50">
        <w:rPr>
          <w:sz w:val="22"/>
        </w:rPr>
        <w:t xml:space="preserve">contact Legal </w:t>
      </w:r>
      <w:r w:rsidR="00CA2119">
        <w:rPr>
          <w:sz w:val="22"/>
        </w:rPr>
        <w:t>if you have further questions.</w:t>
      </w:r>
    </w:p>
    <w:p w:rsidR="00EE03A9" w:rsidRPr="008212A9" w:rsidRDefault="00EE03A9">
      <w:pPr>
        <w:pStyle w:val="BodyText"/>
        <w:ind w:left="360"/>
        <w:rPr>
          <w:sz w:val="22"/>
        </w:rPr>
      </w:pPr>
    </w:p>
    <w:p w:rsidR="00180C70" w:rsidRPr="008212A9" w:rsidRDefault="00180C70" w:rsidP="00041C54">
      <w:pPr>
        <w:tabs>
          <w:tab w:val="left" w:pos="2127"/>
        </w:tabs>
        <w:autoSpaceDE w:val="0"/>
        <w:autoSpaceDN w:val="0"/>
        <w:adjustRightInd w:val="0"/>
        <w:spacing w:after="0"/>
        <w:rPr>
          <w:rFonts w:ascii="Times New Roman" w:hAnsi="Times New Roman"/>
          <w:color w:val="000000"/>
          <w:sz w:val="22"/>
          <w:szCs w:val="22"/>
        </w:rPr>
      </w:pPr>
    </w:p>
    <w:p w:rsidR="00180C70" w:rsidRPr="008212A9" w:rsidRDefault="00180C70" w:rsidP="00041C54">
      <w:pPr>
        <w:tabs>
          <w:tab w:val="left" w:pos="2127"/>
        </w:tabs>
        <w:autoSpaceDE w:val="0"/>
        <w:autoSpaceDN w:val="0"/>
        <w:adjustRightInd w:val="0"/>
        <w:spacing w:after="0"/>
        <w:rPr>
          <w:rFonts w:ascii="Times New Roman" w:hAnsi="Times New Roman"/>
          <w:color w:val="000000"/>
          <w:sz w:val="22"/>
          <w:szCs w:val="22"/>
        </w:rPr>
      </w:pPr>
    </w:p>
    <w:p w:rsidR="00180C70" w:rsidRPr="008212A9" w:rsidRDefault="00180C70" w:rsidP="00041C54">
      <w:pPr>
        <w:tabs>
          <w:tab w:val="left" w:pos="2127"/>
        </w:tabs>
        <w:autoSpaceDE w:val="0"/>
        <w:autoSpaceDN w:val="0"/>
        <w:adjustRightInd w:val="0"/>
        <w:spacing w:after="0"/>
        <w:rPr>
          <w:rFonts w:ascii="Times New Roman" w:hAnsi="Times New Roman"/>
          <w:color w:val="000000"/>
          <w:sz w:val="22"/>
          <w:szCs w:val="22"/>
        </w:rPr>
      </w:pPr>
    </w:p>
    <w:p w:rsidR="00180C70" w:rsidRPr="008212A9" w:rsidRDefault="00180C70" w:rsidP="00041C54">
      <w:pPr>
        <w:tabs>
          <w:tab w:val="left" w:pos="2127"/>
        </w:tabs>
        <w:autoSpaceDE w:val="0"/>
        <w:autoSpaceDN w:val="0"/>
        <w:adjustRightInd w:val="0"/>
        <w:spacing w:after="0"/>
        <w:rPr>
          <w:rFonts w:ascii="Times New Roman" w:hAnsi="Times New Roman"/>
          <w:color w:val="000000"/>
          <w:sz w:val="22"/>
          <w:szCs w:val="22"/>
        </w:rPr>
      </w:pPr>
    </w:p>
    <w:p w:rsidR="00180C70" w:rsidRPr="008212A9" w:rsidRDefault="00180C70" w:rsidP="00041C54">
      <w:pPr>
        <w:tabs>
          <w:tab w:val="left" w:pos="2127"/>
        </w:tabs>
        <w:autoSpaceDE w:val="0"/>
        <w:autoSpaceDN w:val="0"/>
        <w:adjustRightInd w:val="0"/>
        <w:spacing w:after="0"/>
        <w:rPr>
          <w:rFonts w:ascii="Times New Roman" w:hAnsi="Times New Roman"/>
          <w:color w:val="000000"/>
          <w:sz w:val="22"/>
          <w:szCs w:val="22"/>
        </w:rPr>
      </w:pPr>
    </w:p>
    <w:p w:rsidR="00316A65" w:rsidRPr="008212A9" w:rsidRDefault="00D61309" w:rsidP="00041C54">
      <w:pPr>
        <w:spacing w:after="0"/>
        <w:rPr>
          <w:sz w:val="22"/>
          <w:szCs w:val="22"/>
        </w:rPr>
      </w:pPr>
      <w:r>
        <w:rPr>
          <w:noProof/>
          <w:sz w:val="22"/>
          <w:szCs w:val="22"/>
        </w:rPr>
        <w:pict>
          <v:group id="_x0000_s1065" style="position:absolute;margin-left:90.5pt;margin-top:6.5pt;width:395.95pt;height:96pt;z-index:251675136" coordorigin="3388,11739" coordsize="7919,3450">
            <v:shape id="_x0000_s1058" type="#_x0000_t202" style="position:absolute;left:3388;top:11739;width:7919;height:1939;mso-width-relative:margin;mso-height-relative:margin" o:regroupid="5" stroked="f">
              <v:textbox style="mso-next-textbox:#_x0000_s1058" inset=",,,4.32pt">
                <w:txbxContent>
                  <w:p w:rsidR="003A7153" w:rsidRDefault="003A7153" w:rsidP="00060000">
                    <w:pPr>
                      <w:pStyle w:val="Disclaimer"/>
                    </w:pPr>
                  </w:p>
                  <w:p w:rsidR="003A7153" w:rsidRDefault="003A7153" w:rsidP="00060000">
                    <w:pPr>
                      <w:pStyle w:val="Disclaimer"/>
                    </w:pPr>
                  </w:p>
                  <w:p w:rsidR="003A7153" w:rsidRDefault="003A7153" w:rsidP="00060000">
                    <w:pPr>
                      <w:pStyle w:val="Disclaimer"/>
                    </w:pPr>
                  </w:p>
                  <w:p w:rsidR="003A7153" w:rsidRDefault="003A7153" w:rsidP="00060000">
                    <w:pPr>
                      <w:pStyle w:val="Disclaimer"/>
                    </w:pPr>
                  </w:p>
                  <w:p w:rsidR="003A7153" w:rsidRPr="00882A5A" w:rsidRDefault="003A7153" w:rsidP="00060000">
                    <w:pPr>
                      <w:pStyle w:val="Disclaimer"/>
                    </w:pPr>
                  </w:p>
                </w:txbxContent>
              </v:textbox>
            </v:shape>
            <v:shape id="_x0000_s1060" type="#_x0000_t202" style="position:absolute;left:3388;top:13903;width:7919;height:1286;mso-position-vertical-relative:page" o:regroupid="5" stroked="f">
              <v:textbox style="mso-next-textbox:#_x0000_s1060" inset=",,,4.32pt">
                <w:txbxContent>
                  <w:p w:rsidR="003A7153" w:rsidRPr="008D0B89" w:rsidRDefault="003A7153" w:rsidP="00060000">
                    <w:pPr>
                      <w:pStyle w:val="Trademark"/>
                    </w:pPr>
                    <w:r w:rsidRPr="008D0B89">
                      <w:t xml:space="preserve">© </w:t>
                    </w:r>
                    <w:fldSimple w:instr=" DATE \@ &quot;yyyy&quot; \* MERGEFORMAT ">
                      <w:r w:rsidR="005C26BB">
                        <w:rPr>
                          <w:noProof/>
                        </w:rPr>
                        <w:t>2012</w:t>
                      </w:r>
                    </w:fldSimple>
                    <w:r w:rsidRPr="008D0B89">
                      <w:t xml:space="preserve"> NetApp, Inc. All rights reserved. No portions of this document may be reproduced without prior written consent of NetApp, Inc. Specifications are subject to change without notice. NetApp, the NetApp logo, Go further, faster, are trademarks or registered trademarks of NetApp, Inc. in the United States and/or other countries. </w:t>
                    </w:r>
                  </w:p>
                </w:txbxContent>
              </v:textbox>
            </v:shape>
          </v:group>
        </w:pict>
      </w:r>
    </w:p>
    <w:p w:rsidR="00EC40A1" w:rsidRPr="008212A9" w:rsidRDefault="005B2494" w:rsidP="00041C54">
      <w:pPr>
        <w:spacing w:after="0"/>
        <w:rPr>
          <w:sz w:val="22"/>
          <w:szCs w:val="22"/>
        </w:rPr>
      </w:pPr>
      <w:r>
        <w:rPr>
          <w:noProof/>
          <w:sz w:val="22"/>
          <w:szCs w:val="22"/>
        </w:rPr>
        <w:drawing>
          <wp:anchor distT="0" distB="0" distL="114300" distR="114300" simplePos="0" relativeHeight="251674112" behindDoc="0" locked="0" layoutInCell="1" allowOverlap="1">
            <wp:simplePos x="0" y="0"/>
            <wp:positionH relativeFrom="column">
              <wp:posOffset>-535305</wp:posOffset>
            </wp:positionH>
            <wp:positionV relativeFrom="paragraph">
              <wp:posOffset>702310</wp:posOffset>
            </wp:positionV>
            <wp:extent cx="1270000" cy="542925"/>
            <wp:effectExtent l="19050" t="0" r="6350" b="0"/>
            <wp:wrapTight wrapText="right">
              <wp:wrapPolygon edited="0">
                <wp:start x="-324" y="0"/>
                <wp:lineTo x="-324" y="21221"/>
                <wp:lineTo x="21708" y="21221"/>
                <wp:lineTo x="21708" y="0"/>
                <wp:lineTo x="-324" y="0"/>
              </wp:wrapPolygon>
            </wp:wrapTight>
            <wp:docPr id="7" name=""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3" cstate="print"/>
                    <a:srcRect/>
                    <a:stretch>
                      <a:fillRect/>
                    </a:stretch>
                  </pic:blipFill>
                  <pic:spPr bwMode="auto">
                    <a:xfrm>
                      <a:off x="0" y="0"/>
                      <a:ext cx="1270000" cy="542925"/>
                    </a:xfrm>
                    <a:prstGeom prst="rect">
                      <a:avLst/>
                    </a:prstGeom>
                    <a:noFill/>
                    <a:ln w="9525">
                      <a:noFill/>
                      <a:miter lim="800000"/>
                      <a:headEnd/>
                      <a:tailEnd/>
                    </a:ln>
                  </pic:spPr>
                </pic:pic>
              </a:graphicData>
            </a:graphic>
          </wp:anchor>
        </w:drawing>
      </w:r>
      <w:r w:rsidR="00D61309">
        <w:rPr>
          <w:noProof/>
          <w:sz w:val="22"/>
          <w:szCs w:val="22"/>
        </w:rPr>
        <w:pict>
          <v:rect id="_x0000_s1059" style="position:absolute;margin-left:-86.4pt;margin-top:149.05pt;width:612pt;height:31.4pt;z-index:251668992;mso-position-horizontal-relative:text;mso-position-vertical-relative:text" o:regroupid="5" stroked="f">
            <v:textbox inset=",,,4.32pt"/>
          </v:rect>
        </w:pict>
      </w:r>
      <w:r w:rsidR="00E14573">
        <w:rPr>
          <w:noProof/>
          <w:sz w:val="22"/>
          <w:szCs w:val="22"/>
        </w:rPr>
        <w:drawing>
          <wp:anchor distT="0" distB="0" distL="114300" distR="114300" simplePos="0" relativeHeight="251672064" behindDoc="0" locked="0" layoutInCell="0" allowOverlap="1">
            <wp:simplePos x="0" y="0"/>
            <wp:positionH relativeFrom="column">
              <wp:posOffset>1141095</wp:posOffset>
            </wp:positionH>
            <wp:positionV relativeFrom="paragraph">
              <wp:posOffset>1120140</wp:posOffset>
            </wp:positionV>
            <wp:extent cx="890905" cy="123825"/>
            <wp:effectExtent l="19050" t="0" r="4445" b="0"/>
            <wp:wrapNone/>
            <wp:docPr id="10" name="Picture 4" descr="na_tagR_1c_na-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_tagR_1c_na-blue_rgb.jpg"/>
                    <pic:cNvPicPr/>
                  </pic:nvPicPr>
                  <pic:blipFill>
                    <a:blip r:embed="rId24" cstate="print"/>
                    <a:stretch>
                      <a:fillRect/>
                    </a:stretch>
                  </pic:blipFill>
                  <pic:spPr>
                    <a:xfrm>
                      <a:off x="0" y="0"/>
                      <a:ext cx="890905" cy="123825"/>
                    </a:xfrm>
                    <a:prstGeom prst="rect">
                      <a:avLst/>
                    </a:prstGeom>
                  </pic:spPr>
                </pic:pic>
              </a:graphicData>
            </a:graphic>
          </wp:anchor>
        </w:drawing>
      </w:r>
    </w:p>
    <w:sectPr w:rsidR="00EC40A1" w:rsidRPr="008212A9" w:rsidSect="00EC40A1">
      <w:footerReference w:type="default" r:id="rId25"/>
      <w:pgSz w:w="12240" w:h="15840" w:code="1"/>
      <w:pgMar w:top="1440" w:right="1152" w:bottom="1440" w:left="1728" w:header="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FB2" w:rsidRDefault="00222FB2">
      <w:r>
        <w:separator/>
      </w:r>
    </w:p>
    <w:p w:rsidR="00222FB2" w:rsidRDefault="00222FB2"/>
    <w:p w:rsidR="00222FB2" w:rsidRDefault="00222FB2"/>
  </w:endnote>
  <w:endnote w:type="continuationSeparator" w:id="1">
    <w:p w:rsidR="00222FB2" w:rsidRDefault="00222FB2">
      <w:r>
        <w:continuationSeparator/>
      </w:r>
    </w:p>
    <w:p w:rsidR="00222FB2" w:rsidRDefault="00222FB2"/>
    <w:p w:rsidR="00222FB2" w:rsidRDefault="00222FB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153" w:rsidRPr="00830B35" w:rsidRDefault="00D61309" w:rsidP="00EC40A1">
    <w:pPr>
      <w:pStyle w:val="Footer"/>
      <w:rPr>
        <w:sz w:val="13"/>
        <w:szCs w:val="13"/>
      </w:rPr>
    </w:pPr>
    <w:fldSimple w:instr=" PAGE   \* MERGEFORMAT ">
      <w:r w:rsidR="005C26BB" w:rsidRPr="005C26BB">
        <w:rPr>
          <w:rStyle w:val="PageNumber"/>
          <w:noProof/>
        </w:rPr>
        <w:t>2</w:t>
      </w:r>
    </w:fldSimple>
    <w:r w:rsidR="003A7153">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FB2" w:rsidRDefault="00222FB2">
      <w:r>
        <w:separator/>
      </w:r>
    </w:p>
    <w:p w:rsidR="00222FB2" w:rsidRDefault="00222FB2"/>
    <w:p w:rsidR="00222FB2" w:rsidRDefault="00222FB2"/>
  </w:footnote>
  <w:footnote w:type="continuationSeparator" w:id="1">
    <w:p w:rsidR="00222FB2" w:rsidRDefault="00222FB2">
      <w:r>
        <w:continuationSeparator/>
      </w:r>
    </w:p>
    <w:p w:rsidR="00222FB2" w:rsidRDefault="00222FB2"/>
    <w:p w:rsidR="00222FB2" w:rsidRDefault="00222FB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B8633E8"/>
    <w:lvl w:ilvl="0">
      <w:start w:val="1"/>
      <w:numFmt w:val="lowerLetter"/>
      <w:pStyle w:val="ListNumber2"/>
      <w:lvlText w:val="%1."/>
      <w:lvlJc w:val="left"/>
      <w:pPr>
        <w:ind w:left="720" w:hanging="360"/>
      </w:pPr>
    </w:lvl>
  </w:abstractNum>
  <w:abstractNum w:abstractNumId="1">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nsid w:val="FFFFFF88"/>
    <w:multiLevelType w:val="singleLevel"/>
    <w:tmpl w:val="5A68C4EA"/>
    <w:lvl w:ilvl="0">
      <w:start w:val="1"/>
      <w:numFmt w:val="decimal"/>
      <w:pStyle w:val="ListNumber"/>
      <w:lvlText w:val="%1."/>
      <w:lvlJc w:val="left"/>
      <w:pPr>
        <w:ind w:left="360" w:hanging="360"/>
      </w:pPr>
    </w:lvl>
  </w:abstractNum>
  <w:abstractNum w:abstractNumId="3">
    <w:nsid w:val="016078BA"/>
    <w:multiLevelType w:val="hybridMultilevel"/>
    <w:tmpl w:val="F858C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523E67"/>
    <w:multiLevelType w:val="hybridMultilevel"/>
    <w:tmpl w:val="6188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D4B2E"/>
    <w:multiLevelType w:val="hybridMultilevel"/>
    <w:tmpl w:val="6DF014A4"/>
    <w:lvl w:ilvl="0" w:tplc="B02E56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11DA"/>
    <w:multiLevelType w:val="hybridMultilevel"/>
    <w:tmpl w:val="CEE6D98C"/>
    <w:lvl w:ilvl="0" w:tplc="F32EF2B6">
      <w:start w:val="1"/>
      <w:numFmt w:val="upperLetter"/>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287E54"/>
    <w:multiLevelType w:val="hybridMultilevel"/>
    <w:tmpl w:val="44281F6C"/>
    <w:lvl w:ilvl="0" w:tplc="5F92DA5A">
      <w:start w:val="1"/>
      <w:numFmt w:val="decimal"/>
      <w:pStyle w:val="Table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B045C"/>
    <w:multiLevelType w:val="hybridMultilevel"/>
    <w:tmpl w:val="CCDC9294"/>
    <w:lvl w:ilvl="0" w:tplc="ECCCF3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664B1"/>
    <w:multiLevelType w:val="hybridMultilevel"/>
    <w:tmpl w:val="2B5E30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1">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2">
    <w:nsid w:val="41B34321"/>
    <w:multiLevelType w:val="hybridMultilevel"/>
    <w:tmpl w:val="888870D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11EE7"/>
    <w:multiLevelType w:val="hybridMultilevel"/>
    <w:tmpl w:val="8048D3D0"/>
    <w:lvl w:ilvl="0" w:tplc="04090015">
      <w:start w:val="1"/>
      <w:numFmt w:val="upp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207466"/>
    <w:multiLevelType w:val="hybridMultilevel"/>
    <w:tmpl w:val="F858C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4D72646B"/>
    <w:multiLevelType w:val="hybridMultilevel"/>
    <w:tmpl w:val="6E682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3624A6"/>
    <w:multiLevelType w:val="hybridMultilevel"/>
    <w:tmpl w:val="71227E4C"/>
    <w:lvl w:ilvl="0" w:tplc="CC8EFB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936B3"/>
    <w:multiLevelType w:val="hybridMultilevel"/>
    <w:tmpl w:val="4A9CD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45A5A27"/>
    <w:multiLevelType w:val="hybridMultilevel"/>
    <w:tmpl w:val="1624E466"/>
    <w:lvl w:ilvl="0" w:tplc="F32EF2B6">
      <w:start w:val="1"/>
      <w:numFmt w:val="upperLetter"/>
      <w:lvlText w:val="%1."/>
      <w:lvlJc w:val="left"/>
      <w:pPr>
        <w:ind w:left="720" w:hanging="360"/>
      </w:pPr>
      <w:rPr>
        <w:rFonts w:hint="default"/>
      </w:rPr>
    </w:lvl>
    <w:lvl w:ilvl="1" w:tplc="C80E66CC">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D611B1E"/>
    <w:multiLevelType w:val="hybridMultilevel"/>
    <w:tmpl w:val="E5987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787800"/>
    <w:multiLevelType w:val="hybridMultilevel"/>
    <w:tmpl w:val="9454EC88"/>
    <w:lvl w:ilvl="0" w:tplc="B02E561E">
      <w:start w:val="1"/>
      <w:numFmt w:val="decimal"/>
      <w:lvlText w:val="%1."/>
      <w:lvlJc w:val="left"/>
      <w:pPr>
        <w:ind w:left="360" w:hanging="360"/>
      </w:pPr>
      <w:rPr>
        <w:rFonts w:hint="default"/>
      </w:rPr>
    </w:lvl>
    <w:lvl w:ilvl="1" w:tplc="C1207032">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6DA92C91"/>
    <w:multiLevelType w:val="hybridMultilevel"/>
    <w:tmpl w:val="D1508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E16B5F"/>
    <w:multiLevelType w:val="hybridMultilevel"/>
    <w:tmpl w:val="6E38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16"/>
  </w:num>
  <w:num w:numId="6">
    <w:abstractNumId w:val="11"/>
  </w:num>
  <w:num w:numId="7">
    <w:abstractNumId w:val="7"/>
  </w:num>
  <w:num w:numId="8">
    <w:abstractNumId w:val="13"/>
  </w:num>
  <w:num w:numId="9">
    <w:abstractNumId w:val="11"/>
  </w:num>
  <w:num w:numId="10">
    <w:abstractNumId w:val="15"/>
  </w:num>
  <w:num w:numId="11">
    <w:abstractNumId w:val="17"/>
  </w:num>
  <w:num w:numId="12">
    <w:abstractNumId w:val="5"/>
  </w:num>
  <w:num w:numId="13">
    <w:abstractNumId w:val="23"/>
  </w:num>
  <w:num w:numId="14">
    <w:abstractNumId w:val="12"/>
  </w:num>
  <w:num w:numId="15">
    <w:abstractNumId w:val="8"/>
  </w:num>
  <w:num w:numId="16">
    <w:abstractNumId w:val="22"/>
  </w:num>
  <w:num w:numId="17">
    <w:abstractNumId w:val="14"/>
  </w:num>
  <w:num w:numId="18">
    <w:abstractNumId w:val="9"/>
  </w:num>
  <w:num w:numId="19">
    <w:abstractNumId w:val="6"/>
  </w:num>
  <w:num w:numId="20">
    <w:abstractNumId w:val="18"/>
  </w:num>
  <w:num w:numId="21">
    <w:abstractNumId w:val="24"/>
  </w:num>
  <w:num w:numId="22">
    <w:abstractNumId w:val="4"/>
  </w:num>
  <w:num w:numId="23">
    <w:abstractNumId w:val="20"/>
  </w:num>
  <w:num w:numId="24">
    <w:abstractNumId w:val="11"/>
  </w:num>
  <w:num w:numId="25">
    <w:abstractNumId w:val="19"/>
  </w:num>
  <w:num w:numId="26">
    <w:abstractNumId w:val="21"/>
  </w:num>
  <w:num w:numId="27">
    <w:abstractNumId w:val="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attachedTemplate r:id="rId1"/>
  <w:stylePaneFormatFilter w:val="0704"/>
  <w:revisionView w:markup="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2465">
      <o:colormenu v:ext="edit" fillcolor="none" strokecolor="#c00000"/>
    </o:shapedefaults>
  </w:hdrShapeDefaults>
  <w:footnotePr>
    <w:footnote w:id="0"/>
    <w:footnote w:id="1"/>
  </w:footnotePr>
  <w:endnotePr>
    <w:endnote w:id="0"/>
    <w:endnote w:id="1"/>
  </w:endnotePr>
  <w:compat/>
  <w:rsids>
    <w:rsidRoot w:val="00AE0545"/>
    <w:rsid w:val="0000274C"/>
    <w:rsid w:val="000371DD"/>
    <w:rsid w:val="00040EBB"/>
    <w:rsid w:val="00041C54"/>
    <w:rsid w:val="000444F5"/>
    <w:rsid w:val="00056C88"/>
    <w:rsid w:val="00060000"/>
    <w:rsid w:val="00064729"/>
    <w:rsid w:val="00075F3F"/>
    <w:rsid w:val="00093E9F"/>
    <w:rsid w:val="000A5B53"/>
    <w:rsid w:val="000A5BF5"/>
    <w:rsid w:val="000A5F7D"/>
    <w:rsid w:val="000E5E26"/>
    <w:rsid w:val="000F6EC6"/>
    <w:rsid w:val="001028E4"/>
    <w:rsid w:val="001116EF"/>
    <w:rsid w:val="00112E42"/>
    <w:rsid w:val="00132795"/>
    <w:rsid w:val="001346E7"/>
    <w:rsid w:val="001470B1"/>
    <w:rsid w:val="00164558"/>
    <w:rsid w:val="00164B53"/>
    <w:rsid w:val="00167A22"/>
    <w:rsid w:val="00180C70"/>
    <w:rsid w:val="00183F29"/>
    <w:rsid w:val="001854CD"/>
    <w:rsid w:val="00185550"/>
    <w:rsid w:val="001962CE"/>
    <w:rsid w:val="001A6394"/>
    <w:rsid w:val="001C0F50"/>
    <w:rsid w:val="001C0FE0"/>
    <w:rsid w:val="001E34E4"/>
    <w:rsid w:val="001F27A6"/>
    <w:rsid w:val="00210283"/>
    <w:rsid w:val="00212299"/>
    <w:rsid w:val="002132F3"/>
    <w:rsid w:val="00214A28"/>
    <w:rsid w:val="00222FB2"/>
    <w:rsid w:val="002331E9"/>
    <w:rsid w:val="00234A7A"/>
    <w:rsid w:val="00250772"/>
    <w:rsid w:val="002607E0"/>
    <w:rsid w:val="0026638F"/>
    <w:rsid w:val="00270D47"/>
    <w:rsid w:val="00271760"/>
    <w:rsid w:val="00271D49"/>
    <w:rsid w:val="00290828"/>
    <w:rsid w:val="002C0544"/>
    <w:rsid w:val="002C348F"/>
    <w:rsid w:val="002D1FAE"/>
    <w:rsid w:val="00316A65"/>
    <w:rsid w:val="0033108C"/>
    <w:rsid w:val="003329CA"/>
    <w:rsid w:val="00335D3C"/>
    <w:rsid w:val="003461CB"/>
    <w:rsid w:val="00364EE5"/>
    <w:rsid w:val="00374F21"/>
    <w:rsid w:val="00396CED"/>
    <w:rsid w:val="003A7153"/>
    <w:rsid w:val="003C0227"/>
    <w:rsid w:val="003D00B7"/>
    <w:rsid w:val="003D09AD"/>
    <w:rsid w:val="003D5FEC"/>
    <w:rsid w:val="004148B4"/>
    <w:rsid w:val="004632B6"/>
    <w:rsid w:val="00467E79"/>
    <w:rsid w:val="0047077E"/>
    <w:rsid w:val="00473ADA"/>
    <w:rsid w:val="00491490"/>
    <w:rsid w:val="004A33EB"/>
    <w:rsid w:val="004D1117"/>
    <w:rsid w:val="004D6E24"/>
    <w:rsid w:val="004E6285"/>
    <w:rsid w:val="0053235C"/>
    <w:rsid w:val="00553332"/>
    <w:rsid w:val="00555B69"/>
    <w:rsid w:val="00570191"/>
    <w:rsid w:val="005845D0"/>
    <w:rsid w:val="005A1360"/>
    <w:rsid w:val="005A28D0"/>
    <w:rsid w:val="005A5784"/>
    <w:rsid w:val="005B2494"/>
    <w:rsid w:val="005C26BB"/>
    <w:rsid w:val="005E03EF"/>
    <w:rsid w:val="005E5F7C"/>
    <w:rsid w:val="005F12BC"/>
    <w:rsid w:val="005F3B8C"/>
    <w:rsid w:val="00601C7F"/>
    <w:rsid w:val="00614962"/>
    <w:rsid w:val="006438B9"/>
    <w:rsid w:val="00665D65"/>
    <w:rsid w:val="00670127"/>
    <w:rsid w:val="006830E5"/>
    <w:rsid w:val="006A441A"/>
    <w:rsid w:val="006C6DBF"/>
    <w:rsid w:val="006E6919"/>
    <w:rsid w:val="006F0434"/>
    <w:rsid w:val="00707FD3"/>
    <w:rsid w:val="007249EB"/>
    <w:rsid w:val="00750301"/>
    <w:rsid w:val="00760BDE"/>
    <w:rsid w:val="00792C7E"/>
    <w:rsid w:val="0079722D"/>
    <w:rsid w:val="007C64DD"/>
    <w:rsid w:val="007C6C36"/>
    <w:rsid w:val="007C79DA"/>
    <w:rsid w:val="007E2491"/>
    <w:rsid w:val="0080456B"/>
    <w:rsid w:val="00806B45"/>
    <w:rsid w:val="008212A9"/>
    <w:rsid w:val="008230AE"/>
    <w:rsid w:val="008341D8"/>
    <w:rsid w:val="00843916"/>
    <w:rsid w:val="00865077"/>
    <w:rsid w:val="008722DA"/>
    <w:rsid w:val="008818E7"/>
    <w:rsid w:val="00890351"/>
    <w:rsid w:val="008B4EAF"/>
    <w:rsid w:val="008C080B"/>
    <w:rsid w:val="008E1CCF"/>
    <w:rsid w:val="008E33C6"/>
    <w:rsid w:val="009308F1"/>
    <w:rsid w:val="00934A90"/>
    <w:rsid w:val="0093517F"/>
    <w:rsid w:val="00940FFB"/>
    <w:rsid w:val="00943ED7"/>
    <w:rsid w:val="00945397"/>
    <w:rsid w:val="0095105F"/>
    <w:rsid w:val="00951B80"/>
    <w:rsid w:val="00955904"/>
    <w:rsid w:val="00961BB2"/>
    <w:rsid w:val="009832D3"/>
    <w:rsid w:val="0098403E"/>
    <w:rsid w:val="0099678D"/>
    <w:rsid w:val="009B2BFA"/>
    <w:rsid w:val="009D551B"/>
    <w:rsid w:val="009D763D"/>
    <w:rsid w:val="009E65A3"/>
    <w:rsid w:val="00A15002"/>
    <w:rsid w:val="00A17711"/>
    <w:rsid w:val="00A2021B"/>
    <w:rsid w:val="00A40DD3"/>
    <w:rsid w:val="00A53F59"/>
    <w:rsid w:val="00A55279"/>
    <w:rsid w:val="00A725A6"/>
    <w:rsid w:val="00A75863"/>
    <w:rsid w:val="00A867C8"/>
    <w:rsid w:val="00AA3F15"/>
    <w:rsid w:val="00AA569E"/>
    <w:rsid w:val="00AB12FE"/>
    <w:rsid w:val="00AB4434"/>
    <w:rsid w:val="00AC7CF5"/>
    <w:rsid w:val="00AE0545"/>
    <w:rsid w:val="00B00577"/>
    <w:rsid w:val="00B00E34"/>
    <w:rsid w:val="00B01B96"/>
    <w:rsid w:val="00B040C1"/>
    <w:rsid w:val="00B138E7"/>
    <w:rsid w:val="00B15F64"/>
    <w:rsid w:val="00B22838"/>
    <w:rsid w:val="00B31B21"/>
    <w:rsid w:val="00B6160E"/>
    <w:rsid w:val="00B8209B"/>
    <w:rsid w:val="00B83EB3"/>
    <w:rsid w:val="00B96305"/>
    <w:rsid w:val="00BC3862"/>
    <w:rsid w:val="00BD7670"/>
    <w:rsid w:val="00C00254"/>
    <w:rsid w:val="00C0179E"/>
    <w:rsid w:val="00C16765"/>
    <w:rsid w:val="00C21E4F"/>
    <w:rsid w:val="00C633E6"/>
    <w:rsid w:val="00C7766B"/>
    <w:rsid w:val="00C94CE5"/>
    <w:rsid w:val="00CA2119"/>
    <w:rsid w:val="00CB2C14"/>
    <w:rsid w:val="00CE78DC"/>
    <w:rsid w:val="00D06888"/>
    <w:rsid w:val="00D07832"/>
    <w:rsid w:val="00D14AD9"/>
    <w:rsid w:val="00D154B2"/>
    <w:rsid w:val="00D16C4E"/>
    <w:rsid w:val="00D300CE"/>
    <w:rsid w:val="00D33505"/>
    <w:rsid w:val="00D3786D"/>
    <w:rsid w:val="00D45EA9"/>
    <w:rsid w:val="00D551AA"/>
    <w:rsid w:val="00D602C5"/>
    <w:rsid w:val="00D61309"/>
    <w:rsid w:val="00D6379C"/>
    <w:rsid w:val="00D93EB5"/>
    <w:rsid w:val="00DA4817"/>
    <w:rsid w:val="00DB566C"/>
    <w:rsid w:val="00DC3592"/>
    <w:rsid w:val="00DC67F7"/>
    <w:rsid w:val="00DD046E"/>
    <w:rsid w:val="00DD5C24"/>
    <w:rsid w:val="00DD6F93"/>
    <w:rsid w:val="00DD7ABD"/>
    <w:rsid w:val="00DE1B48"/>
    <w:rsid w:val="00E06712"/>
    <w:rsid w:val="00E075A1"/>
    <w:rsid w:val="00E11A0E"/>
    <w:rsid w:val="00E14573"/>
    <w:rsid w:val="00E33101"/>
    <w:rsid w:val="00E34F38"/>
    <w:rsid w:val="00E35A3D"/>
    <w:rsid w:val="00E434EF"/>
    <w:rsid w:val="00E80558"/>
    <w:rsid w:val="00E9612C"/>
    <w:rsid w:val="00EA0B09"/>
    <w:rsid w:val="00EA0CBE"/>
    <w:rsid w:val="00EB7B9F"/>
    <w:rsid w:val="00EC16D9"/>
    <w:rsid w:val="00EC40A1"/>
    <w:rsid w:val="00EE03A9"/>
    <w:rsid w:val="00EE241C"/>
    <w:rsid w:val="00EE25D4"/>
    <w:rsid w:val="00EE5857"/>
    <w:rsid w:val="00F05DE6"/>
    <w:rsid w:val="00F06001"/>
    <w:rsid w:val="00F145EC"/>
    <w:rsid w:val="00F16B78"/>
    <w:rsid w:val="00F2138C"/>
    <w:rsid w:val="00F51135"/>
    <w:rsid w:val="00F72236"/>
    <w:rsid w:val="00F774EE"/>
    <w:rsid w:val="00F81173"/>
    <w:rsid w:val="00F9252B"/>
    <w:rsid w:val="00FA2BC6"/>
    <w:rsid w:val="00FB1E0D"/>
    <w:rsid w:val="00FB54BA"/>
    <w:rsid w:val="00FC62E2"/>
    <w:rsid w:val="00FD33D8"/>
    <w:rsid w:val="00FD5FC0"/>
    <w:rsid w:val="00FD7F8A"/>
    <w:rsid w:val="00FF7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5">
      <o:colormenu v:ext="edit" fillcolor="none" strokecolor="#c00000"/>
    </o:shapedefaults>
    <o:shapelayout v:ext="edit">
      <o:idmap v:ext="edit" data="1"/>
      <o:regrouptable v:ext="edit">
        <o:entry new="1" old="0"/>
        <o:entry new="2" old="1"/>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lsdException w:name="heading 4" w:semiHidden="0" w:qFormat="1"/>
    <w:lsdException w:name="heading 5" w:semiHidden="0" w:qFormat="1"/>
    <w:lsdException w:name="heading 6" w:semiHidden="0"/>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lsdException w:name="table of figures" w:unhideWhenUsed="1"/>
    <w:lsdException w:name="envelope address" w:unhideWhenUsed="1"/>
    <w:lsdException w:name="footnote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semiHidden/>
    <w:qFormat/>
    <w:rsid w:val="00B80D55"/>
    <w:pPr>
      <w:spacing w:after="120"/>
    </w:pPr>
    <w:rPr>
      <w:rFonts w:ascii="Arial" w:hAnsi="Arial"/>
    </w:rPr>
  </w:style>
  <w:style w:type="paragraph" w:styleId="Heading1">
    <w:name w:val="heading 1"/>
    <w:next w:val="BodyText"/>
    <w:link w:val="Heading1Char"/>
    <w:qFormat/>
    <w:rsid w:val="006E2475"/>
    <w:pPr>
      <w:keepNext/>
      <w:keepLines/>
      <w:numPr>
        <w:numId w:val="5"/>
      </w:numPr>
      <w:spacing w:before="360" w:after="80" w:line="276" w:lineRule="auto"/>
      <w:outlineLvl w:val="0"/>
    </w:pPr>
    <w:rPr>
      <w:rFonts w:ascii="Arial" w:hAnsi="Arial"/>
      <w:b/>
      <w:bCs/>
      <w:caps/>
      <w:color w:val="0067C5"/>
      <w:sz w:val="26"/>
      <w:szCs w:val="28"/>
    </w:rPr>
  </w:style>
  <w:style w:type="paragraph" w:styleId="Heading2">
    <w:name w:val="heading 2"/>
    <w:next w:val="BodyText"/>
    <w:link w:val="Heading2Char"/>
    <w:qFormat/>
    <w:rsid w:val="00F51148"/>
    <w:pPr>
      <w:keepNext/>
      <w:keepLines/>
      <w:spacing w:before="360" w:after="80" w:line="276" w:lineRule="auto"/>
      <w:outlineLvl w:val="1"/>
    </w:pPr>
    <w:rPr>
      <w:rFonts w:ascii="Arial" w:hAnsi="Arial"/>
      <w:b/>
      <w:bCs/>
      <w:caps/>
      <w:sz w:val="22"/>
      <w:szCs w:val="26"/>
    </w:rPr>
  </w:style>
  <w:style w:type="paragraph" w:styleId="Heading3">
    <w:name w:val="heading 3"/>
    <w:next w:val="BodyText"/>
    <w:link w:val="Heading3Char"/>
    <w:rsid w:val="000E0EF8"/>
    <w:pPr>
      <w:keepNext/>
      <w:spacing w:before="240" w:after="40"/>
      <w:outlineLvl w:val="2"/>
    </w:pPr>
    <w:rPr>
      <w:rFonts w:ascii="Arial" w:hAnsi="Arial"/>
      <w:b/>
      <w:caps/>
      <w:color w:val="616365"/>
      <w:szCs w:val="26"/>
    </w:rPr>
  </w:style>
  <w:style w:type="paragraph" w:styleId="Heading4">
    <w:name w:val="heading 4"/>
    <w:basedOn w:val="Normal"/>
    <w:next w:val="Normal"/>
    <w:link w:val="Heading4Char"/>
    <w:uiPriority w:val="99"/>
    <w:semiHidden/>
    <w:qFormat/>
    <w:rsid w:val="00C36BF6"/>
    <w:pPr>
      <w:keepNext/>
      <w:numPr>
        <w:ilvl w:val="3"/>
        <w:numId w:val="5"/>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9"/>
    <w:semiHidden/>
    <w:qFormat/>
    <w:rsid w:val="00C36BF6"/>
    <w:pPr>
      <w:numPr>
        <w:ilvl w:val="4"/>
        <w:numId w:val="5"/>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5"/>
      </w:numPr>
      <w:spacing w:before="240" w:after="60"/>
      <w:outlineLvl w:val="6"/>
    </w:pPr>
    <w:rPr>
      <w:b/>
      <w:sz w:val="24"/>
      <w:szCs w:val="24"/>
    </w:rPr>
  </w:style>
  <w:style w:type="paragraph" w:styleId="Heading8">
    <w:name w:val="heading 8"/>
    <w:basedOn w:val="Normal"/>
    <w:next w:val="Normal"/>
    <w:link w:val="Heading8Char"/>
    <w:uiPriority w:val="99"/>
    <w:semiHidden/>
    <w:qFormat/>
    <w:rsid w:val="00C36BF6"/>
    <w:pPr>
      <w:numPr>
        <w:ilvl w:val="7"/>
        <w:numId w:val="5"/>
      </w:numPr>
      <w:spacing w:before="240" w:after="60"/>
      <w:outlineLvl w:val="7"/>
    </w:pPr>
    <w:rPr>
      <w:rFonts w:ascii="Times New Roman" w:hAnsi="Times New Roman"/>
      <w:i/>
      <w:sz w:val="24"/>
      <w:szCs w:val="24"/>
    </w:rPr>
  </w:style>
  <w:style w:type="paragraph" w:styleId="Heading9">
    <w:name w:val="heading 9"/>
    <w:basedOn w:val="Normal"/>
    <w:next w:val="Normal"/>
    <w:link w:val="Heading9Char"/>
    <w:uiPriority w:val="99"/>
    <w:semiHidden/>
    <w:qFormat/>
    <w:rsid w:val="00C36BF6"/>
    <w:pPr>
      <w:numPr>
        <w:ilvl w:val="8"/>
        <w:numId w:val="5"/>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86424A"/>
    <w:pPr>
      <w:spacing w:before="120" w:after="120" w:line="240" w:lineRule="exact"/>
    </w:pPr>
    <w:rPr>
      <w:rFonts w:ascii="Arial" w:hAnsi="Arial"/>
      <w:szCs w:val="22"/>
    </w:rPr>
  </w:style>
  <w:style w:type="character" w:customStyle="1" w:styleId="BodyTextChar">
    <w:name w:val="Body Text Char"/>
    <w:basedOn w:val="DefaultParagraphFont"/>
    <w:link w:val="BodyText"/>
    <w:rsid w:val="00B80D55"/>
    <w:rPr>
      <w:rFonts w:ascii="Arial" w:hAnsi="Arial"/>
      <w:szCs w:val="22"/>
      <w:lang w:val="en-US" w:eastAsia="en-US" w:bidi="ar-SA"/>
    </w:rPr>
  </w:style>
  <w:style w:type="character" w:customStyle="1" w:styleId="Heading1Char">
    <w:name w:val="Heading 1 Char"/>
    <w:basedOn w:val="DefaultParagraphFont"/>
    <w:link w:val="Heading1"/>
    <w:rsid w:val="00B80D55"/>
    <w:rPr>
      <w:rFonts w:ascii="Arial" w:hAnsi="Arial"/>
      <w:b/>
      <w:bCs/>
      <w:caps/>
      <w:color w:val="0067C5"/>
      <w:sz w:val="26"/>
      <w:szCs w:val="28"/>
    </w:rPr>
  </w:style>
  <w:style w:type="character" w:customStyle="1" w:styleId="Heading2Char">
    <w:name w:val="Heading 2 Char"/>
    <w:basedOn w:val="DefaultParagraphFont"/>
    <w:link w:val="Heading2"/>
    <w:uiPriority w:val="9"/>
    <w:rsid w:val="00B80D55"/>
    <w:rPr>
      <w:rFonts w:ascii="Arial" w:hAnsi="Arial"/>
      <w:b/>
      <w:bCs/>
      <w:caps/>
      <w:sz w:val="22"/>
      <w:szCs w:val="26"/>
      <w:lang w:val="en-US" w:eastAsia="en-US" w:bidi="ar-SA"/>
    </w:rPr>
  </w:style>
  <w:style w:type="character" w:customStyle="1" w:styleId="Heading3Char">
    <w:name w:val="Heading 3 Char"/>
    <w:basedOn w:val="DefaultParagraphFont"/>
    <w:link w:val="Heading3"/>
    <w:rsid w:val="000E0EF8"/>
    <w:rPr>
      <w:rFonts w:ascii="Arial" w:hAnsi="Arial"/>
      <w:b/>
      <w:caps/>
      <w:color w:val="616365"/>
      <w:szCs w:val="26"/>
      <w:lang w:val="en-US" w:eastAsia="en-US" w:bidi="ar-SA"/>
    </w:rPr>
  </w:style>
  <w:style w:type="character" w:customStyle="1" w:styleId="Heading4Char">
    <w:name w:val="Heading 4 Char"/>
    <w:basedOn w:val="DefaultParagraphFont"/>
    <w:link w:val="Heading4"/>
    <w:uiPriority w:val="99"/>
    <w:semiHidden/>
    <w:rsid w:val="00B80D55"/>
    <w:rPr>
      <w:b/>
      <w:sz w:val="28"/>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Arial" w:hAnsi="Arial"/>
      <w:b/>
      <w:bCs/>
      <w:caps/>
      <w:color w:val="0067C5"/>
      <w:sz w:val="26"/>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rsid w:val="006B0F79"/>
    <w:pPr>
      <w:numPr>
        <w:numId w:val="1"/>
      </w:numPr>
      <w:spacing w:after="60"/>
    </w:pPr>
    <w:rPr>
      <w:rFonts w:ascii="Arial" w:hAnsi="Arial"/>
      <w:szCs w:val="22"/>
    </w:rPr>
  </w:style>
  <w:style w:type="paragraph" w:customStyle="1" w:styleId="Eyebrow">
    <w:name w:val="Eyebrow"/>
    <w:basedOn w:val="Normal"/>
    <w:next w:val="Normal"/>
    <w:rsid w:val="00A60117"/>
    <w:pPr>
      <w:keepNext/>
      <w:tabs>
        <w:tab w:val="left" w:pos="0"/>
      </w:tabs>
      <w:spacing w:after="240" w:line="240" w:lineRule="exact"/>
    </w:pPr>
    <w:rPr>
      <w:color w:val="616365"/>
      <w:spacing w:val="8"/>
    </w:rPr>
  </w:style>
  <w:style w:type="paragraph" w:styleId="TOC1">
    <w:name w:val="toc 1"/>
    <w:basedOn w:val="BodyText"/>
    <w:next w:val="BodyText"/>
    <w:uiPriority w:val="39"/>
    <w:rsid w:val="00D25588"/>
    <w:pPr>
      <w:tabs>
        <w:tab w:val="right" w:leader="dot" w:pos="9360"/>
      </w:tabs>
      <w:ind w:left="346" w:hanging="346"/>
    </w:pPr>
    <w:rPr>
      <w:b/>
      <w:caps/>
      <w:noProof/>
      <w:color w:val="0067C5"/>
    </w:rPr>
  </w:style>
  <w:style w:type="paragraph" w:styleId="TOC2">
    <w:name w:val="toc 2"/>
    <w:basedOn w:val="BodyText"/>
    <w:next w:val="Normal"/>
    <w:uiPriority w:val="39"/>
    <w:rsid w:val="00D25588"/>
    <w:pPr>
      <w:tabs>
        <w:tab w:val="right" w:leader="dot" w:pos="9360"/>
      </w:tabs>
      <w:ind w:left="1094" w:right="14" w:hanging="547"/>
    </w:pPr>
    <w:rPr>
      <w:b/>
      <w:caps/>
      <w:noProof/>
      <w:sz w:val="16"/>
    </w:rPr>
  </w:style>
  <w:style w:type="paragraph" w:styleId="Title">
    <w:name w:val="Title"/>
    <w:basedOn w:val="Normal"/>
    <w:link w:val="TitleChar"/>
    <w:uiPriority w:val="10"/>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uiPriority w:val="10"/>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36BF6"/>
    <w:rPr>
      <w:rFonts w:ascii="Arial" w:hAnsi="Arial" w:cs="Times New Roman"/>
      <w:sz w:val="14"/>
    </w:rPr>
  </w:style>
  <w:style w:type="paragraph" w:styleId="Footer">
    <w:name w:val="footer"/>
    <w:basedOn w:val="Normal"/>
    <w:link w:val="FooterChar"/>
    <w:uiPriority w:val="99"/>
    <w:rsid w:val="009B663A"/>
    <w:pPr>
      <w:tabs>
        <w:tab w:val="left" w:pos="720"/>
      </w:tabs>
    </w:pPr>
  </w:style>
  <w:style w:type="character" w:customStyle="1" w:styleId="FooterChar">
    <w:name w:val="Footer Char"/>
    <w:basedOn w:val="DefaultParagraphFont"/>
    <w:link w:val="Footer"/>
    <w:uiPriority w:val="99"/>
    <w:rsid w:val="00B80D55"/>
    <w:rPr>
      <w:rFonts w:ascii="Arial" w:hAnsi="Arial"/>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rsid w:val="00C36BF6"/>
  </w:style>
  <w:style w:type="character" w:customStyle="1" w:styleId="CommentTextChar">
    <w:name w:val="Comment Text Char"/>
    <w:basedOn w:val="DefaultParagraphFont"/>
    <w:link w:val="CommentText"/>
    <w:uiPriority w:val="99"/>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b/>
      <w:bCs/>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Default">
    <w:name w:val="Default"/>
    <w:rsid w:val="00882A5A"/>
    <w:pPr>
      <w:autoSpaceDE w:val="0"/>
      <w:autoSpaceDN w:val="0"/>
      <w:adjustRightInd w:val="0"/>
    </w:pPr>
    <w:rPr>
      <w:rFonts w:ascii="Arial" w:hAnsi="Arial" w:cs="Arial"/>
      <w:color w:val="000000"/>
      <w:sz w:val="24"/>
      <w:szCs w:val="24"/>
    </w:rPr>
  </w:style>
  <w:style w:type="paragraph" w:styleId="ListBullet2">
    <w:name w:val="List Bullet 2"/>
    <w:rsid w:val="006B0F79"/>
    <w:pPr>
      <w:numPr>
        <w:numId w:val="2"/>
      </w:numPr>
      <w:spacing w:after="60"/>
    </w:pPr>
    <w:rPr>
      <w:rFonts w:ascii="Arial" w:hAnsi="Arial"/>
    </w:rPr>
  </w:style>
  <w:style w:type="paragraph" w:styleId="ListNumber">
    <w:name w:val="List Number"/>
    <w:rsid w:val="006B0F79"/>
    <w:pPr>
      <w:numPr>
        <w:numId w:val="3"/>
      </w:numPr>
      <w:spacing w:before="80" w:after="60"/>
    </w:pPr>
    <w:rPr>
      <w:rFonts w:ascii="Arial" w:hAnsi="Arial"/>
    </w:rPr>
  </w:style>
  <w:style w:type="paragraph" w:styleId="ListNumber2">
    <w:name w:val="List Number 2"/>
    <w:rsid w:val="006B0F79"/>
    <w:pPr>
      <w:numPr>
        <w:numId w:val="4"/>
      </w:numPr>
      <w:spacing w:before="80" w:after="60"/>
    </w:pPr>
    <w:rPr>
      <w:rFonts w:ascii="Arial" w:hAnsi="Arial"/>
    </w:rPr>
  </w:style>
  <w:style w:type="paragraph" w:customStyle="1" w:styleId="Graphic">
    <w:name w:val="Graphic"/>
    <w:next w:val="BodyText"/>
    <w:rsid w:val="0086424A"/>
    <w:pPr>
      <w:spacing w:before="80" w:after="240" w:line="360" w:lineRule="auto"/>
    </w:pPr>
    <w:rPr>
      <w:rFonts w:ascii="Arial" w:hAnsi="Arial"/>
      <w:sz w:val="18"/>
      <w:szCs w:val="22"/>
    </w:rPr>
  </w:style>
  <w:style w:type="paragraph" w:customStyle="1" w:styleId="TableBullet">
    <w:name w:val="Table Bullet"/>
    <w:basedOn w:val="TableText"/>
    <w:rsid w:val="00EB695C"/>
    <w:pPr>
      <w:numPr>
        <w:numId w:val="8"/>
      </w:numPr>
      <w:ind w:left="216" w:hanging="216"/>
    </w:pPr>
  </w:style>
  <w:style w:type="paragraph" w:customStyle="1" w:styleId="TableText">
    <w:name w:val="Table Text"/>
    <w:rsid w:val="002A580C"/>
    <w:pPr>
      <w:tabs>
        <w:tab w:val="center" w:pos="4320"/>
        <w:tab w:val="center" w:pos="8280"/>
      </w:tabs>
      <w:spacing w:before="40" w:after="40"/>
    </w:pPr>
    <w:rPr>
      <w:rFonts w:ascii="Arial" w:hAnsi="Arial"/>
      <w:sz w:val="19"/>
      <w:szCs w:val="24"/>
    </w:rPr>
  </w:style>
  <w:style w:type="table" w:customStyle="1" w:styleId="BestPractices">
    <w:name w:val="Best Practices"/>
    <w:basedOn w:val="TableNormal"/>
    <w:uiPriority w:val="99"/>
    <w:rsid w:val="00185F9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rPr>
      <w:cantSplit/>
    </w:trPr>
    <w:tblStylePr w:type="firstRow">
      <w:rPr>
        <w:rFonts w:ascii="Arial" w:hAnsi="Arial"/>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l2br w:val="nil"/>
          <w:tr2bl w:val="nil"/>
        </w:tcBorders>
        <w:shd w:val="clear" w:color="auto" w:fill="4F81BD"/>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C855D2"/>
    <w:pPr>
      <w:spacing w:after="0"/>
    </w:pPr>
  </w:style>
  <w:style w:type="character" w:customStyle="1" w:styleId="FootnoteTextChar">
    <w:name w:val="Footnote Text Char"/>
    <w:basedOn w:val="DefaultParagraphFont"/>
    <w:link w:val="FootnoteText"/>
    <w:uiPriority w:val="99"/>
    <w:rsid w:val="00C855D2"/>
    <w:rPr>
      <w:rFonts w:ascii="Arial" w:eastAsia="Times New Roman" w:hAnsi="Arial" w:cs="Times New Roman"/>
    </w:rPr>
  </w:style>
  <w:style w:type="character" w:styleId="SubtleEmphasis">
    <w:name w:val="Subtle Emphasis"/>
    <w:basedOn w:val="DefaultParagraphFont"/>
    <w:uiPriority w:val="19"/>
    <w:semiHidden/>
    <w:qFormat/>
    <w:rsid w:val="00C855D2"/>
    <w:rPr>
      <w:rFonts w:eastAsia="Times New Roman" w:cs="Times New Roman"/>
      <w:bCs w:val="0"/>
      <w:i/>
      <w:iCs/>
      <w:color w:val="808080"/>
      <w:szCs w:val="22"/>
      <w:lang w:val="en-US"/>
    </w:rPr>
  </w:style>
  <w:style w:type="table" w:styleId="MediumShading2-Accent5">
    <w:name w:val="Medium Shading 2 Accent 5"/>
    <w:basedOn w:val="TableNormal"/>
    <w:uiPriority w:val="64"/>
    <w:rsid w:val="00C855D2"/>
    <w:rPr>
      <w:rFonts w:ascii="Arial" w:hAnsi="Arial"/>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14D7D"/>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14D7D"/>
      </w:tcPr>
    </w:tblStylePr>
    <w:tblStylePr w:type="lastCol">
      <w:rPr>
        <w:b/>
        <w:bCs/>
        <w:color w:val="FFFFFF"/>
      </w:rPr>
      <w:tblPr/>
      <w:tcPr>
        <w:tcBorders>
          <w:left w:val="nil"/>
          <w:right w:val="nil"/>
          <w:insideH w:val="nil"/>
          <w:insideV w:val="nil"/>
        </w:tcBorders>
        <w:shd w:val="clear" w:color="auto" w:fill="614D7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spacing w:after="0"/>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B80D55"/>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customStyle="1" w:styleId="TableNumbered">
    <w:name w:val="Table Numbered"/>
    <w:basedOn w:val="TableText"/>
    <w:rsid w:val="00EB695C"/>
    <w:pPr>
      <w:numPr>
        <w:numId w:val="7"/>
      </w:numPr>
      <w:ind w:left="216" w:hanging="216"/>
    </w:pPr>
  </w:style>
  <w:style w:type="paragraph" w:styleId="Revision">
    <w:name w:val="Revision"/>
    <w:hidden/>
    <w:uiPriority w:val="99"/>
    <w:semiHidden/>
    <w:rsid w:val="005F3989"/>
    <w:rPr>
      <w:rFonts w:ascii="Arial" w:hAnsi="Arial"/>
    </w:rPr>
  </w:style>
  <w:style w:type="paragraph" w:styleId="Caption">
    <w:name w:val="caption"/>
    <w:next w:val="Graphic"/>
    <w:rsid w:val="00836877"/>
    <w:pPr>
      <w:keepNext/>
      <w:spacing w:before="200" w:after="80"/>
    </w:pPr>
    <w:rPr>
      <w:rFonts w:ascii="Arial" w:hAnsi="Arial"/>
      <w:b/>
      <w:bCs/>
      <w:color w:val="616365"/>
      <w:sz w:val="18"/>
      <w:szCs w:val="18"/>
    </w:rPr>
  </w:style>
  <w:style w:type="paragraph" w:customStyle="1" w:styleId="Note">
    <w:name w:val="Note"/>
    <w:basedOn w:val="BodyText"/>
    <w:next w:val="BodyText"/>
    <w:rsid w:val="00610487"/>
    <w:pPr>
      <w:numPr>
        <w:ilvl w:val="8"/>
        <w:numId w:val="9"/>
      </w:numPr>
      <w:tabs>
        <w:tab w:val="left" w:pos="720"/>
      </w:tabs>
      <w:spacing w:line="220" w:lineRule="exact"/>
    </w:pPr>
  </w:style>
  <w:style w:type="paragraph" w:customStyle="1" w:styleId="Disclaimer">
    <w:name w:val="Disclaimer"/>
    <w:basedOn w:val="Default"/>
    <w:rsid w:val="0021224F"/>
    <w:pPr>
      <w:spacing w:after="120"/>
    </w:pPr>
    <w:rPr>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rsid w:val="001A6FE0"/>
    <w:pPr>
      <w:keepNext/>
      <w:tabs>
        <w:tab w:val="clear" w:pos="4320"/>
        <w:tab w:val="clear" w:pos="8280"/>
      </w:tabs>
    </w:pPr>
    <w:rPr>
      <w:color w:val="FFFFFF"/>
      <w:sz w:val="20"/>
    </w:rPr>
  </w:style>
  <w:style w:type="paragraph" w:customStyle="1" w:styleId="ConsoleBlock">
    <w:name w:val="Console Block"/>
    <w:basedOn w:val="BodyText"/>
    <w:next w:val="BodyText"/>
    <w:rsid w:val="00CA43D5"/>
    <w:pPr>
      <w:pBdr>
        <w:top w:val="single" w:sz="4" w:space="3" w:color="808080"/>
        <w:left w:val="single" w:sz="4" w:space="3" w:color="808080"/>
        <w:bottom w:val="single" w:sz="4" w:space="3" w:color="808080"/>
        <w:right w:val="single" w:sz="4" w:space="3" w:color="808080"/>
      </w:pBdr>
      <w:suppressAutoHyphens/>
      <w:spacing w:before="0" w:after="0" w:line="240" w:lineRule="auto"/>
    </w:pPr>
    <w:rPr>
      <w:rFonts w:ascii="Courier New" w:hAnsi="Courier New"/>
      <w:noProof/>
      <w:sz w:val="18"/>
      <w:szCs w:val="24"/>
    </w:rPr>
  </w:style>
  <w:style w:type="character" w:customStyle="1" w:styleId="ConsoleText">
    <w:name w:val="Console Text"/>
    <w:basedOn w:val="BodyTextChar"/>
    <w:rsid w:val="00FD7F8A"/>
    <w:rPr>
      <w:rFonts w:ascii="Courier New" w:hAnsi="Courier New"/>
      <w:sz w:val="20"/>
      <w:szCs w:val="24"/>
    </w:rPr>
  </w:style>
  <w:style w:type="character" w:customStyle="1" w:styleId="ConsoleCommand">
    <w:name w:val="Console Command"/>
    <w:basedOn w:val="BodyTextChar"/>
    <w:rsid w:val="00FD7F8A"/>
    <w:rPr>
      <w:rFonts w:ascii="Courier New" w:hAnsi="Courier New"/>
      <w:b/>
      <w:sz w:val="20"/>
      <w:szCs w:val="24"/>
    </w:rPr>
  </w:style>
  <w:style w:type="paragraph" w:customStyle="1" w:styleId="ConsoleBlockSmall">
    <w:name w:val="Console Block Small"/>
    <w:basedOn w:val="ConsoleBlock"/>
    <w:next w:val="BodyText"/>
    <w:rsid w:val="00CA43D5"/>
    <w:rPr>
      <w:sz w:val="16"/>
    </w:rPr>
  </w:style>
  <w:style w:type="paragraph" w:customStyle="1" w:styleId="Note2">
    <w:name w:val="Note 2"/>
    <w:basedOn w:val="Note"/>
    <w:next w:val="BodyIndent"/>
    <w:rsid w:val="00610487"/>
    <w:pPr>
      <w:ind w:left="1080"/>
    </w:p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D25588"/>
    <w:pPr>
      <w:spacing w:before="120" w:after="120"/>
    </w:pPr>
    <w:rPr>
      <w:rFonts w:ascii="Arial" w:hAnsi="Arial"/>
    </w:rPr>
  </w:style>
  <w:style w:type="paragraph" w:customStyle="1" w:styleId="legaltype">
    <w:name w:val="legal type"/>
    <w:basedOn w:val="Normal"/>
    <w:uiPriority w:val="99"/>
    <w:semiHidden/>
    <w:rsid w:val="0021224F"/>
    <w:pPr>
      <w:spacing w:after="0"/>
    </w:pPr>
    <w:rPr>
      <w:sz w:val="13"/>
      <w:szCs w:val="16"/>
    </w:rPr>
  </w:style>
  <w:style w:type="paragraph" w:styleId="TOCHeading">
    <w:name w:val="TOC Heading"/>
    <w:basedOn w:val="Heading1"/>
    <w:next w:val="Normal"/>
    <w:uiPriority w:val="39"/>
    <w:qFormat/>
    <w:rsid w:val="00D94507"/>
    <w:pPr>
      <w:numPr>
        <w:numId w:val="0"/>
      </w:numPr>
      <w:spacing w:before="480" w:after="0" w:line="240" w:lineRule="auto"/>
      <w:outlineLvl w:val="9"/>
    </w:pPr>
    <w:rPr>
      <w:caps w:val="0"/>
      <w:color w:val="616365"/>
      <w:sz w:val="20"/>
    </w:rPr>
  </w:style>
  <w:style w:type="paragraph" w:styleId="Subtitle">
    <w:name w:val="Subtitle"/>
    <w:next w:val="Normal"/>
    <w:link w:val="SubtitleChar"/>
    <w:uiPriority w:val="11"/>
    <w:rsid w:val="003467FB"/>
    <w:pPr>
      <w:numPr>
        <w:ilvl w:val="1"/>
      </w:numPr>
      <w:spacing w:before="240"/>
    </w:pPr>
    <w:rPr>
      <w:rFonts w:ascii="Arial" w:hAnsi="Arial"/>
      <w:b/>
      <w:iCs/>
      <w:caps/>
      <w:color w:val="0067C5"/>
      <w:sz w:val="24"/>
      <w:szCs w:val="24"/>
    </w:rPr>
  </w:style>
  <w:style w:type="character" w:customStyle="1" w:styleId="SubtitleChar">
    <w:name w:val="Subtitle Char"/>
    <w:basedOn w:val="DefaultParagraphFont"/>
    <w:link w:val="Subtitle"/>
    <w:uiPriority w:val="11"/>
    <w:rsid w:val="003467FB"/>
    <w:rPr>
      <w:rFonts w:ascii="Arial" w:hAnsi="Arial"/>
      <w:b/>
      <w:iCs/>
      <w:caps/>
      <w:color w:val="0067C5"/>
      <w:sz w:val="24"/>
      <w:szCs w:val="24"/>
      <w:lang w:val="en-US" w:eastAsia="en-US" w:bidi="ar-SA"/>
    </w:rPr>
  </w:style>
  <w:style w:type="paragraph" w:customStyle="1" w:styleId="subtitle0">
    <w:name w:val="subtitle"/>
    <w:basedOn w:val="Authordate"/>
    <w:uiPriority w:val="99"/>
    <w:rsid w:val="002D5FEB"/>
    <w:pPr>
      <w:spacing w:before="240"/>
    </w:pPr>
    <w:rPr>
      <w:b/>
      <w:caps/>
      <w:color w:val="0067C5"/>
      <w:sz w:val="24"/>
    </w:rPr>
  </w:style>
  <w:style w:type="character" w:styleId="FollowedHyperlink">
    <w:name w:val="FollowedHyperlink"/>
    <w:basedOn w:val="DefaultParagraphFont"/>
    <w:uiPriority w:val="99"/>
    <w:semiHidden/>
    <w:unhideWhenUsed/>
    <w:rsid w:val="00F51148"/>
    <w:rPr>
      <w:color w:val="614D7D"/>
      <w:u w:val="single"/>
    </w:rPr>
  </w:style>
  <w:style w:type="character" w:styleId="Emphasis">
    <w:name w:val="Emphasis"/>
    <w:basedOn w:val="DefaultParagraphFont"/>
    <w:uiPriority w:val="20"/>
    <w:qFormat/>
    <w:rsid w:val="00041C54"/>
    <w:rPr>
      <w:i/>
      <w:iCs/>
    </w:rPr>
  </w:style>
  <w:style w:type="paragraph" w:styleId="NormalWeb">
    <w:name w:val="Normal (Web)"/>
    <w:basedOn w:val="Normal"/>
    <w:uiPriority w:val="99"/>
    <w:unhideWhenUsed/>
    <w:rsid w:val="00041C54"/>
    <w:pPr>
      <w:spacing w:after="0"/>
    </w:pPr>
    <w:rPr>
      <w:rFonts w:ascii="Times New Roman" w:hAnsi="Times New Roman"/>
      <w:sz w:val="24"/>
      <w:szCs w:val="24"/>
    </w:rPr>
  </w:style>
  <w:style w:type="character" w:customStyle="1" w:styleId="printlink">
    <w:name w:val="printlink"/>
    <w:basedOn w:val="DefaultParagraphFont"/>
    <w:rsid w:val="00041C54"/>
  </w:style>
  <w:style w:type="paragraph" w:styleId="ListParagraph">
    <w:name w:val="List Paragraph"/>
    <w:basedOn w:val="Normal"/>
    <w:uiPriority w:val="34"/>
    <w:qFormat/>
    <w:rsid w:val="00041C54"/>
    <w:pPr>
      <w:spacing w:after="200" w:line="276" w:lineRule="auto"/>
      <w:ind w:left="720"/>
      <w:contextualSpacing/>
    </w:pPr>
    <w:rPr>
      <w:rFonts w:asciiTheme="minorHAnsi" w:eastAsiaTheme="minorHAnsi" w:hAnsiTheme="minorHAnsi" w:cstheme="minorBidi"/>
      <w:sz w:val="22"/>
      <w:szCs w:val="22"/>
    </w:rPr>
  </w:style>
  <w:style w:type="character" w:customStyle="1" w:styleId="mw-headline">
    <w:name w:val="mw-headline"/>
    <w:basedOn w:val="DefaultParagraphFont"/>
    <w:rsid w:val="00D93EB5"/>
  </w:style>
  <w:style w:type="character" w:customStyle="1" w:styleId="apple-converted-space">
    <w:name w:val="apple-converted-space"/>
    <w:basedOn w:val="DefaultParagraphFont"/>
    <w:rsid w:val="00D93EB5"/>
  </w:style>
  <w:style w:type="character" w:customStyle="1" w:styleId="apple-style-span">
    <w:name w:val="apple-style-span"/>
    <w:basedOn w:val="DefaultParagraphFont"/>
    <w:rsid w:val="003D09AD"/>
  </w:style>
</w:styles>
</file>

<file path=word/webSettings.xml><?xml version="1.0" encoding="utf-8"?>
<w:webSettings xmlns:r="http://schemas.openxmlformats.org/officeDocument/2006/relationships" xmlns:w="http://schemas.openxmlformats.org/wordprocessingml/2006/main">
  <w:divs>
    <w:div w:id="242490168">
      <w:bodyDiv w:val="1"/>
      <w:marLeft w:val="0"/>
      <w:marRight w:val="0"/>
      <w:marTop w:val="0"/>
      <w:marBottom w:val="0"/>
      <w:divBdr>
        <w:top w:val="none" w:sz="0" w:space="0" w:color="auto"/>
        <w:left w:val="none" w:sz="0" w:space="0" w:color="auto"/>
        <w:bottom w:val="none" w:sz="0" w:space="0" w:color="auto"/>
        <w:right w:val="none" w:sz="0" w:space="0" w:color="auto"/>
      </w:divBdr>
    </w:div>
    <w:div w:id="451631104">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79282101">
      <w:bodyDiv w:val="1"/>
      <w:marLeft w:val="0"/>
      <w:marRight w:val="0"/>
      <w:marTop w:val="0"/>
      <w:marBottom w:val="0"/>
      <w:divBdr>
        <w:top w:val="none" w:sz="0" w:space="0" w:color="auto"/>
        <w:left w:val="none" w:sz="0" w:space="0" w:color="auto"/>
        <w:bottom w:val="none" w:sz="0" w:space="0" w:color="auto"/>
        <w:right w:val="none" w:sz="0" w:space="0" w:color="auto"/>
      </w:divBdr>
    </w:div>
    <w:div w:id="970863181">
      <w:bodyDiv w:val="1"/>
      <w:marLeft w:val="0"/>
      <w:marRight w:val="0"/>
      <w:marTop w:val="0"/>
      <w:marBottom w:val="0"/>
      <w:divBdr>
        <w:top w:val="none" w:sz="0" w:space="0" w:color="auto"/>
        <w:left w:val="none" w:sz="0" w:space="0" w:color="auto"/>
        <w:bottom w:val="none" w:sz="0" w:space="0" w:color="auto"/>
        <w:right w:val="none" w:sz="0" w:space="0" w:color="auto"/>
      </w:divBdr>
    </w:div>
    <w:div w:id="18230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pyright.laws.com/" TargetMode="External"/><Relationship Id="rId18" Type="http://schemas.openxmlformats.org/officeDocument/2006/relationships/hyperlink" Target="http://wikid.netapp.com/w/HHG/Software-4.0/3rd-Party/license_burt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gtc@netapp.com" TargetMode="External"/><Relationship Id="rId7" Type="http://schemas.openxmlformats.org/officeDocument/2006/relationships/settings" Target="settings.xml"/><Relationship Id="rId12" Type="http://schemas.openxmlformats.org/officeDocument/2006/relationships/hyperlink" Target="http://copyright.laws.com/" TargetMode="External"/><Relationship Id="rId17" Type="http://schemas.openxmlformats.org/officeDocument/2006/relationships/hyperlink" Target="http://wikid.netapp.com/w/Licens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netapp.com/us/site/tmguidelines.html" TargetMode="External"/><Relationship Id="rId20" Type="http://schemas.openxmlformats.org/officeDocument/2006/relationships/hyperlink" Target="http://legal.corp.netapp.com/?page_id=1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www.netapp.com/us/site/netapptmlist.html" TargetMode="External"/><Relationship Id="rId23"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hyperlink" Target="http://thebrewery-web.corp.netapp.com/Brewery/brewery/dev/Governance/3rdPartySoftware/3rdPartyCodeProcess/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egal-web.corp.netapp.com/legal/igb/IT%20Information%20Classification%20Policy.htm" TargetMode="External"/><Relationship Id="rId22" Type="http://schemas.openxmlformats.org/officeDocument/2006/relationships/hyperlink" Target="http://legal-web.corp.netapp.com/legal/igb/information_classification.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orahm\My%20Documents\1_AA_BRAND\WordTemplates\TR_WP_Updated_Oct09\White_Paper_Template_30SEPT_09.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anguage xmlns="5035c52d-4289-4f42-995e-513a09f0e8c5">English</Language>
    <Owner xmlns="5035c52d-4289-4f42-995e-513a09f0e8c5">
      <UserInfo>
        <DisplayName>Silva, Becky</DisplayName>
        <AccountId>1500</AccountId>
        <AccountType/>
      </UserInfo>
    </Owner>
    <Version_x0020_Date xmlns="5035c52d-4289-4f42-995e-513a09f0e8c5">1.0</Version_x0020_Date>
    <Country xmlns="5035c52d-4289-4f42-995e-513a09f0e8c5" xsi:nil="true"/>
    <Geo xmlns="5035c52d-4289-4f42-995e-513a09f0e8c5">WW</Geo>
    <State xmlns="5035c52d-4289-4f42-995e-513a09f0e8c5" xsi:nil="true"/>
    <Parent_x0020_of xmlns="5035c52d-4289-4f42-995e-513a09f0e8c5" xsi:nil="true"/>
    <Effective_x0020_date xmlns="5035c52d-4289-4f42-995e-513a09f0e8c5">2012-04-10T16:28:28+00:00</Effective_x0020_date>
    <Child_x0020_of xmlns="5035c52d-4289-4f42-995e-513a09f0e8c5"/>
    <Document_x0020_Description xmlns="5035c52d-4289-4f42-995e-513a09f0e8c5" xsi:nil="true"/>
    <Expiration_x0020_date0 xmlns="5035c52d-4289-4f42-995e-513a09f0e8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8B5B20423BBA4184946D8574FAC9A3" ma:contentTypeVersion="13" ma:contentTypeDescription="Create a new document." ma:contentTypeScope="" ma:versionID="54d604ab219bf1651adf4c93b7a42efc">
  <xsd:schema xmlns:xsd="http://www.w3.org/2001/XMLSchema" xmlns:p="http://schemas.microsoft.com/office/2006/metadata/properties" xmlns:ns2="5035c52d-4289-4f42-995e-513a09f0e8c5" targetNamespace="http://schemas.microsoft.com/office/2006/metadata/properties" ma:root="true" ma:fieldsID="e468ef45f952235be066203189765c67" ns2:_="">
    <xsd:import namespace="5035c52d-4289-4f42-995e-513a09f0e8c5"/>
    <xsd:element name="properties">
      <xsd:complexType>
        <xsd:sequence>
          <xsd:element name="documentManagement">
            <xsd:complexType>
              <xsd:all>
                <xsd:element ref="ns2:Document_x0020_Description" minOccurs="0"/>
                <xsd:element ref="ns2:Owner"/>
                <xsd:element ref="ns2:Geo"/>
                <xsd:element ref="ns2:Country" minOccurs="0"/>
                <xsd:element ref="ns2:Parent_x0020_of" minOccurs="0"/>
                <xsd:element ref="ns2:Child_x0020_of" minOccurs="0"/>
                <xsd:element ref="ns2:Effective_x0020_date" minOccurs="0"/>
                <xsd:element ref="ns2:Expiration_x0020_date0" minOccurs="0"/>
                <xsd:element ref="ns2:Version_x0020_Date"/>
                <xsd:element ref="ns2:Language"/>
                <xsd:element ref="ns2:State" minOccurs="0"/>
              </xsd:all>
            </xsd:complexType>
          </xsd:element>
        </xsd:sequence>
      </xsd:complexType>
    </xsd:element>
  </xsd:schema>
  <xsd:schema xmlns:xsd="http://www.w3.org/2001/XMLSchema" xmlns:dms="http://schemas.microsoft.com/office/2006/documentManagement/types" targetNamespace="5035c52d-4289-4f42-995e-513a09f0e8c5" elementFormDefault="qualified">
    <xsd:import namespace="http://schemas.microsoft.com/office/2006/documentManagement/types"/>
    <xsd:element name="Document_x0020_Description" ma:index="1" nillable="true" ma:displayName="Document Description" ma:internalName="Document_x0020_Description">
      <xsd:simpleType>
        <xsd:restriction base="dms:Note"/>
      </xsd:simpleType>
    </xsd:element>
    <xsd:element name="Owner" ma:index="2" ma:displayName="Owners" ma:list="UserInfo" ma:internalName="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Geo" ma:index="3" ma:displayName="Scope - Geo" ma:default="WW" ma:format="Dropdown" ma:internalName="Geo">
      <xsd:simpleType>
        <xsd:restriction base="dms:Choice">
          <xsd:enumeration value="WW"/>
          <xsd:enumeration value="AMER"/>
          <xsd:enumeration value="APAC"/>
          <xsd:enumeration value="EMEA"/>
          <xsd:enumeration value="USPS"/>
        </xsd:restriction>
      </xsd:simpleType>
    </xsd:element>
    <xsd:element name="Country" ma:index="4" nillable="true" ma:displayName="Scope - Country" ma:default="WW" ma:format="Dropdown" ma:internalName="Country">
      <xsd:simpleType>
        <xsd:restriction base="dms:Choice">
          <xsd:enumeration value="WW"/>
          <xsd:enumeration value="USA"/>
          <xsd:enumeration value="APAC excl. Japan and Australia"/>
          <xsd:enumeration value="Japan - JP"/>
          <xsd:enumeration value="Australia -AU"/>
          <xsd:enumeration value="Germany - DE"/>
          <xsd:enumeration value="France - FR"/>
          <xsd:enumeration value="United Kingdom - GB"/>
        </xsd:restriction>
      </xsd:simpleType>
    </xsd:element>
    <xsd:element name="Parent_x0020_of" ma:index="5" nillable="true" ma:displayName="Parent of" ma:list="{5035c52d-4289-4f42-995e-513a09f0e8c5}" ma:internalName="Parent_x0020_of" ma:showField="Title">
      <xsd:simpleType>
        <xsd:restriction base="dms:Lookup"/>
      </xsd:simpleType>
    </xsd:element>
    <xsd:element name="Child_x0020_of" ma:index="6" nillable="true" ma:displayName="Child of" ma:list="{5035c52d-4289-4f42-995e-513a09f0e8c5}" ma:internalName="Child_x0020_of" ma:showField="Title">
      <xsd:complexType>
        <xsd:complexContent>
          <xsd:extension base="dms:MultiChoiceLookup">
            <xsd:sequence>
              <xsd:element name="Value" type="dms:Lookup" maxOccurs="unbounded" minOccurs="0" nillable="true"/>
            </xsd:sequence>
          </xsd:extension>
        </xsd:complexContent>
      </xsd:complexType>
    </xsd:element>
    <xsd:element name="Effective_x0020_date" ma:index="7" nillable="true" ma:displayName="Effective date" ma:default="[today]" ma:format="DateOnly" ma:internalName="Effective_x0020_date">
      <xsd:simpleType>
        <xsd:restriction base="dms:DateTime"/>
      </xsd:simpleType>
    </xsd:element>
    <xsd:element name="Expiration_x0020_date0" ma:index="8" nillable="true" ma:displayName="Expiration date" ma:format="DateOnly" ma:internalName="Expiration_x0020_date0">
      <xsd:simpleType>
        <xsd:restriction base="dms:DateTime"/>
      </xsd:simpleType>
    </xsd:element>
    <xsd:element name="Version_x0020_Date" ma:index="10" ma:displayName="Version Info" ma:internalName="Version_x0020_Date">
      <xsd:simpleType>
        <xsd:restriction base="dms:Text">
          <xsd:maxLength value="255"/>
        </xsd:restriction>
      </xsd:simpleType>
    </xsd:element>
    <xsd:element name="Language" ma:index="11" ma:displayName="Document Language" ma:default="English" ma:format="Dropdown" ma:internalName="Language">
      <xsd:simpleType>
        <xsd:restriction base="dms:Choice">
          <xsd:enumeration value="English"/>
          <xsd:enumeration value="French"/>
          <xsd:enumeration value="German"/>
          <xsd:enumeration value="Italian"/>
          <xsd:enumeration value="Spanish"/>
          <xsd:enumeration value="Other"/>
        </xsd:restriction>
      </xsd:simpleType>
    </xsd:element>
    <xsd:element name="State" ma:index="12" nillable="true" ma:displayName="State" ma:internalName="State">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C005287-DB28-43BE-BE70-A0D5800D2390}"/>
</file>

<file path=customXml/itemProps2.xml><?xml version="1.0" encoding="utf-8"?>
<ds:datastoreItem xmlns:ds="http://schemas.openxmlformats.org/officeDocument/2006/customXml" ds:itemID="{6B52F1B3-0302-4D9A-9E30-F613517F4270}"/>
</file>

<file path=customXml/itemProps3.xml><?xml version="1.0" encoding="utf-8"?>
<ds:datastoreItem xmlns:ds="http://schemas.openxmlformats.org/officeDocument/2006/customXml" ds:itemID="{7E508454-57F6-4FF5-9306-12A0116E9060}"/>
</file>

<file path=customXml/itemProps4.xml><?xml version="1.0" encoding="utf-8"?>
<ds:datastoreItem xmlns:ds="http://schemas.openxmlformats.org/officeDocument/2006/customXml" ds:itemID="{8C09662A-E875-443A-A0D7-2F324809F02E}"/>
</file>

<file path=docProps/app.xml><?xml version="1.0" encoding="utf-8"?>
<Properties xmlns="http://schemas.openxmlformats.org/officeDocument/2006/extended-properties" xmlns:vt="http://schemas.openxmlformats.org/officeDocument/2006/docPropsVTypes">
  <Template>White_Paper_Template_30SEPT_09.doc</Template>
  <TotalTime>1</TotalTime>
  <Pages>13</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White Paper</vt:lpstr>
    </vt:vector>
  </TitlesOfParts>
  <Company>NetApp</Company>
  <LinksUpToDate>false</LinksUpToDate>
  <CharactersWithSpaces>29211</CharactersWithSpaces>
  <SharedDoc>false</SharedDoc>
  <HyperlinkBase/>
  <HLinks>
    <vt:vector size="48" baseType="variant">
      <vt:variant>
        <vt:i4>7667836</vt:i4>
      </vt:variant>
      <vt:variant>
        <vt:i4>99</vt:i4>
      </vt:variant>
      <vt:variant>
        <vt:i4>0</vt:i4>
      </vt:variant>
      <vt:variant>
        <vt:i4>5</vt:i4>
      </vt:variant>
      <vt:variant>
        <vt:lpwstr>http://now.netapp.com/NOW/knowledge/docs/DFM_win/rel40/pdfs/upgrade.pdf</vt:lpwstr>
      </vt:variant>
      <vt:variant>
        <vt:lpwstr/>
      </vt:variant>
      <vt:variant>
        <vt:i4>4259956</vt:i4>
      </vt:variant>
      <vt:variant>
        <vt:i4>96</vt:i4>
      </vt:variant>
      <vt:variant>
        <vt:i4>0</vt:i4>
      </vt:variant>
      <vt:variant>
        <vt:i4>5</vt:i4>
      </vt:variant>
      <vt:variant>
        <vt:lpwstr>http://www.netapp.com/us/products/management-software/protection.html</vt:lpwstr>
      </vt:variant>
      <vt:variant>
        <vt:lpwstr/>
      </vt:variant>
      <vt:variant>
        <vt:i4>61</vt:i4>
      </vt:variant>
      <vt:variant>
        <vt:i4>93</vt:i4>
      </vt:variant>
      <vt:variant>
        <vt:i4>0</vt:i4>
      </vt:variant>
      <vt:variant>
        <vt:i4>5</vt:i4>
      </vt:variant>
      <vt:variant>
        <vt:lpwstr>http://www.document_hyperlink.com/</vt:lpwstr>
      </vt:variant>
      <vt:variant>
        <vt:lpwstr/>
      </vt:variant>
      <vt:variant>
        <vt:i4>1900550</vt:i4>
      </vt:variant>
      <vt:variant>
        <vt:i4>77</vt:i4>
      </vt:variant>
      <vt:variant>
        <vt:i4>0</vt:i4>
      </vt:variant>
      <vt:variant>
        <vt:i4>5</vt:i4>
      </vt:variant>
      <vt:variant>
        <vt:lpwstr/>
      </vt:variant>
      <vt:variant>
        <vt:lpwstr>_Toc267548710</vt:lpwstr>
      </vt:variant>
      <vt:variant>
        <vt:i4>1835023</vt:i4>
      </vt:variant>
      <vt:variant>
        <vt:i4>71</vt:i4>
      </vt:variant>
      <vt:variant>
        <vt:i4>0</vt:i4>
      </vt:variant>
      <vt:variant>
        <vt:i4>5</vt:i4>
      </vt:variant>
      <vt:variant>
        <vt:lpwstr/>
      </vt:variant>
      <vt:variant>
        <vt:lpwstr>_Toc267548709</vt:lpwstr>
      </vt:variant>
      <vt:variant>
        <vt:i4>1835022</vt:i4>
      </vt:variant>
      <vt:variant>
        <vt:i4>62</vt:i4>
      </vt:variant>
      <vt:variant>
        <vt:i4>0</vt:i4>
      </vt:variant>
      <vt:variant>
        <vt:i4>5</vt:i4>
      </vt:variant>
      <vt:variant>
        <vt:lpwstr/>
      </vt:variant>
      <vt:variant>
        <vt:lpwstr>_Toc267548708</vt:lpwstr>
      </vt:variant>
      <vt:variant>
        <vt:i4>1835009</vt:i4>
      </vt:variant>
      <vt:variant>
        <vt:i4>56</vt:i4>
      </vt:variant>
      <vt:variant>
        <vt:i4>0</vt:i4>
      </vt:variant>
      <vt:variant>
        <vt:i4>5</vt:i4>
      </vt:variant>
      <vt:variant>
        <vt:lpwstr/>
      </vt:variant>
      <vt:variant>
        <vt:lpwstr>_Toc267548707</vt:lpwstr>
      </vt:variant>
      <vt:variant>
        <vt:i4>1835008</vt:i4>
      </vt:variant>
      <vt:variant>
        <vt:i4>50</vt:i4>
      </vt:variant>
      <vt:variant>
        <vt:i4>0</vt:i4>
      </vt:variant>
      <vt:variant>
        <vt:i4>5</vt:i4>
      </vt:variant>
      <vt:variant>
        <vt:lpwstr/>
      </vt:variant>
      <vt:variant>
        <vt:lpwstr>_Toc267548706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creator>mcnulty</dc:creator>
  <cp:lastModifiedBy>NetApp Inc.</cp:lastModifiedBy>
  <cp:revision>2</cp:revision>
  <cp:lastPrinted>2011-09-09T23:03:00Z</cp:lastPrinted>
  <dcterms:created xsi:type="dcterms:W3CDTF">2012-03-19T21:03:00Z</dcterms:created>
  <dcterms:modified xsi:type="dcterms:W3CDTF">2012-03-19T21:03:00Z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0x0101006D8B5B20423BBA4184946D8574FAC9A3</vt:lpwstr>
  </property>
</Properties>
</file>