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rial" w:hAnsi="Arial"/>
          <w:b/>
          <w:color w:val="0F172A"/>
          <w:sz w:val="48"/>
        </w:rPr>
        <w:t>Orcathon 2026: Flagship Platform &amp; App Specification</w:t>
      </w:r>
    </w:p>
    <w:p>
      <w:pPr>
        <w:spacing w:before="0" w:after="280"/>
      </w:pPr>
      <w:r>
        <w:rPr>
          <w:rFonts w:ascii="Arial" w:hAnsi="Arial"/>
          <w:color w:val="64748B"/>
          <w:sz w:val="24"/>
        </w:rPr>
        <w:t>An Awwwards-Caliber Product Showcase, Dynamic PWA Ecosystem &amp; Hackathon Pitch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475569"/>
                <w:sz w:val="18"/>
              </w:rPr>
              <w:t>Project Target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Orcathon 2026 Final Problem Statement Solution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475569"/>
                <w:sz w:val="18"/>
              </w:rPr>
              <w:t>Design Inspiration Benchmark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Oryzo AI (Awwwards SOTY Benchmark by Lusion)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475569"/>
                <w:sz w:val="18"/>
              </w:rPr>
              <w:t>Architecture Model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Dual-Engine: Next.js 16 Web Showcase + Offline-Ready Mobile PWA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475569"/>
                <w:sz w:val="18"/>
              </w:rPr>
              <w:t>Authentication &amp; Access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Clerk Authentication + Supabase Postgres Database (Guest, User, Judge Roles)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6"/>
        </w:rPr>
        <w:t>1. Executive Summary &amp; Core Objective</w:t>
      </w:r>
    </w:p>
    <w:p>
      <w:pPr>
        <w:spacing w:before="0" w:after="80" w:line="276" w:lineRule="auto"/>
      </w:pPr>
      <w:r>
        <w:rPr>
          <w:rFonts w:ascii="Arial" w:hAnsi="Arial"/>
          <w:color w:val="323232"/>
          <w:sz w:val="20"/>
        </w:rPr>
        <w:t>This specification establishes the end-to-end design and system architecture for the Orcathon 2026 final project. Rather than treating the hackathon submission as an ordinary static landing page or basic mobile prototype, this architecture introduces a unified triple-threat asset: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20"/>
        </w:rPr>
        <w:t>1. Flagship Presentation Surface:</w:t>
      </w:r>
      <w:r>
        <w:rPr>
          <w:rFonts w:ascii="Arial" w:hAnsi="Arial"/>
          <w:color w:val="323232"/>
          <w:sz w:val="20"/>
        </w:rPr>
        <w:t xml:space="preserve"> A luxury, high-craft editorial landing page inspired by Oryzo AI (Lusion), replacing generic AI tropes with studio lighting, CAD vector calipers, and dynamic UI viewports.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20"/>
        </w:rPr>
        <w:t>2. Functional Production Application:</w:t>
      </w:r>
      <w:r>
        <w:rPr>
          <w:rFonts w:ascii="Arial" w:hAnsi="Arial"/>
          <w:color w:val="323232"/>
          <w:sz w:val="20"/>
        </w:rPr>
        <w:t xml:space="preserve"> A production-grade web application equipped with Clerk authentication, Supabase Postgres persistence, and full Progressive Web App (PWA) installability for standalone mobile usage.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20"/>
        </w:rPr>
        <w:t>3. Pitch &amp; Video Generation Engine:</w:t>
      </w:r>
      <w:r>
        <w:rPr>
          <w:rFonts w:ascii="Arial" w:hAnsi="Arial"/>
          <w:color w:val="323232"/>
          <w:sz w:val="20"/>
        </w:rPr>
        <w:t xml:space="preserve"> A choreographed visual narrative designed to be screen-recorded directly for the 3-minute hackathon demo video, with keyboard-snapping slides for live judge pitch defense.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000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41414"/>
                <w:sz w:val="21"/>
              </w:rPr>
              <w:t>📌 Key Insight on Device Presentation</w:t>
              <w:br/>
            </w:r>
            <w:r>
              <w:rPr>
                <w:rFonts w:ascii="Arial" w:hAnsi="Arial"/>
                <w:color w:val="3C3C3C"/>
                <w:sz w:val="20"/>
              </w:rPr>
              <w:t>To prevent the website from appearing as a 'commercial for a smartphone,' the 3D phone is NOT a static hardware hero. Instead, it serves as the dynamic Mobile Companion HUD that syncs with floating Desktop Website Panes. The hero of the website is 100% the product solution built for the announced problem statement.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6"/>
        </w:rPr>
        <w:t>2. Visual Reference Analysis: The Oryzo Benchmark</w:t>
      </w:r>
    </w:p>
    <w:p>
      <w:pPr>
        <w:spacing w:before="0" w:after="80" w:line="276" w:lineRule="auto"/>
      </w:pPr>
      <w:r>
        <w:rPr>
          <w:rFonts w:ascii="Arial" w:hAnsi="Arial"/>
          <w:color w:val="323232"/>
          <w:sz w:val="20"/>
        </w:rPr>
        <w:t>Oryzo AI (oryzo.ai), developed by creative agency Lusion, represents the global benchmark for high-craft interactive 3D web design. Our technical analysis of Oryzo deconstructs why it feels so captivating and how we apply its lessons to Orcathon: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yzo_hero_loaded_17927629591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6464"/>
          <w:sz w:val="17"/>
        </w:rPr>
        <w:t>Figure: Oryzo AI Hero: Precision CAD vector handles, bounding boxes, and warm directional studio lighting.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293B"/>
          <w:sz w:val="28"/>
        </w:rPr>
        <w:t>Deconstructed Visual Mechanics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20"/>
        </w:rPr>
        <w:t>• Anti-Slop Palette:</w:t>
      </w:r>
      <w:r>
        <w:rPr>
          <w:rFonts w:ascii="Arial" w:hAnsi="Arial"/>
          <w:color w:val="323232"/>
          <w:sz w:val="20"/>
        </w:rPr>
        <w:t xml:space="preserve"> Deep obsidian base (#08090D) paired with warm sand/cream (#FFEDD6) typography, eliminating radioactive neon glows.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20"/>
        </w:rPr>
        <w:t>• Typographic Rhythm:</w:t>
      </w:r>
      <w:r>
        <w:rPr>
          <w:rFonts w:ascii="Arial" w:hAnsi="Arial"/>
          <w:color w:val="323232"/>
          <w:sz w:val="20"/>
        </w:rPr>
        <w:t xml:space="preserve"> Clean grotesque and editorial serifs paired with monospace metrics for telemetry readouts.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20"/>
        </w:rPr>
        <w:t>• CAD &amp; Engineering Overlays:</w:t>
      </w:r>
      <w:r>
        <w:rPr>
          <w:rFonts w:ascii="Arial" w:hAnsi="Arial"/>
          <w:color w:val="323232"/>
          <w:sz w:val="20"/>
        </w:rPr>
        <w:t xml:space="preserve"> Subtle crosshair reticles, dimension callouts (e.g., 6.1" Super Retina XDR), dashed alignment guides, and formula annotations.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yzo_coaster_ai_section_17927629691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6464"/>
          <w:sz w:val="17"/>
        </w:rPr>
        <w:t>Figure: Oryzo AI Scroll Parallax: Smooth momentum-driven camera positioning and high-contrast editorial hierarchy.</w:t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6"/>
        </w:rPr>
        <w:t>3. Choreographed Website Experience: Act-by-Act Breakdown</w:t>
      </w:r>
    </w:p>
    <w:p>
      <w:pPr>
        <w:spacing w:before="0" w:after="80" w:line="276" w:lineRule="auto"/>
      </w:pPr>
      <w:r>
        <w:rPr>
          <w:rFonts w:ascii="Arial" w:hAnsi="Arial"/>
          <w:color w:val="323232"/>
          <w:sz w:val="20"/>
        </w:rPr>
        <w:t>As judges and visitors scroll through the landing page, the page moves through six cinematic narrative acts: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293B"/>
          <w:sz w:val="28"/>
        </w:rPr>
        <w:t>Act 1: The Core Solution Hook (Hero)</w:t>
      </w:r>
    </w:p>
    <w:p>
      <w:pPr>
        <w:spacing w:before="0" w:after="80" w:line="276" w:lineRule="auto"/>
      </w:pPr>
      <w:r>
        <w:rPr>
          <w:rFonts w:ascii="Arial" w:hAnsi="Arial"/>
          <w:color w:val="323232"/>
          <w:sz w:val="20"/>
        </w:rPr>
        <w:t>The visitor lands on a studio-lit scene. A floating viewport (mobile companion or glass monolith) appears in the center, framed by CAD crosshairs and dimensional bounding lines. A prominent 'Sign In / Launch App' CTA sits in the navbar alongside an interactive 'Live Demo' trigger.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293B"/>
          <w:sz w:val="28"/>
        </w:rPr>
        <w:t>Act 2: The Expanding Website Panes (Desktop Web App)</w:t>
      </w:r>
    </w:p>
    <w:p>
      <w:pPr>
        <w:spacing w:before="0" w:after="80" w:line="276" w:lineRule="auto"/>
      </w:pPr>
      <w:r>
        <w:rPr>
          <w:rFonts w:ascii="Arial" w:hAnsi="Arial"/>
          <w:color w:val="323232"/>
          <w:sz w:val="20"/>
        </w:rPr>
        <w:t>As the user scrolls, the central device glides smoothly to the right flank. Simultaneously, a floating, high-resolution Desktop Browser Pane unfolds from the center, revealing the core desktop interface of the problem-statement solution.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yzo_features_elevate_17927630656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6464"/>
          <w:sz w:val="17"/>
        </w:rPr>
        <w:t>Figure: Oryzo Editorial Carousel: Modular card layout showcasing real-world use-cases, warnings, and feature proofs.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293B"/>
          <w:sz w:val="28"/>
        </w:rPr>
        <w:t>Act 3: Cross-Platform Ecosystem (Desktop + Mobile Sync)</w:t>
      </w:r>
    </w:p>
    <w:p>
      <w:pPr>
        <w:spacing w:before="0" w:after="80" w:line="276" w:lineRule="auto"/>
      </w:pPr>
      <w:r>
        <w:rPr>
          <w:rFonts w:ascii="Arial" w:hAnsi="Arial"/>
          <w:color w:val="323232"/>
          <w:sz w:val="20"/>
        </w:rPr>
        <w:t>The desktop pane and mobile companion align side-by-side. An interactive action taken on the desktop pane (e.g., dispatching an AI task or submitting a record) reflects in real-time on the mobile phone screen, proving full cross-platform synchronization.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293B"/>
          <w:sz w:val="28"/>
        </w:rPr>
        <w:t>Act 4: The 'Smart Flip' Telemetry Pane</w:t>
      </w:r>
    </w:p>
    <w:p>
      <w:pPr>
        <w:spacing w:before="0" w:after="80" w:line="276" w:lineRule="auto"/>
      </w:pPr>
      <w:r>
        <w:rPr>
          <w:rFonts w:ascii="Arial" w:hAnsi="Arial"/>
          <w:color w:val="323232"/>
          <w:sz w:val="20"/>
        </w:rPr>
        <w:t>Inspired by Oryzo's interactive craft workbench and message flip, users can click an 'Inspect Architecture' button. The device flips 180° in 3D space, revealing the underlying engine: live database queries (Drizzle ORM), Supabase connection health, and Redis cache hit ratios.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yzo_smart_flip_section_17927631945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6464"/>
          <w:sz w:val="17"/>
        </w:rPr>
        <w:t>Figure: Oryzo Physical Flip Interaction: Tangible workbench scene with real-time 180-degree flip trigger.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293B"/>
          <w:sz w:val="28"/>
        </w:rPr>
        <w:t>Act 5: Technical Blueprints &amp; Mathematical Validation</w:t>
      </w:r>
    </w:p>
    <w:p>
      <w:pPr>
        <w:spacing w:before="0" w:after="80" w:line="276" w:lineRule="auto"/>
      </w:pPr>
      <w:r>
        <w:rPr>
          <w:rFonts w:ascii="Arial" w:hAnsi="Arial"/>
          <w:color w:val="323232"/>
          <w:sz w:val="20"/>
        </w:rPr>
        <w:t>Technical validation matters deeply to judges. This section features SVG engineering schematics, algorithmic formulas (e.g., latency reduction curves, ranking weights), and interactive code snippets explaining the core algorithm.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yzo_antislip_179276328913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6464"/>
          <w:sz w:val="17"/>
        </w:rPr>
        <w:t>Figure: Oryzo Technical Schematics: Formulaic equations, blueprint vector lines, and technical calipers.</w:t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6"/>
        </w:rPr>
        <w:t>4. Functional Application &amp; PWA Specification</w:t>
      </w:r>
    </w:p>
    <w:p>
      <w:pPr>
        <w:spacing w:before="0" w:after="80" w:line="276" w:lineRule="auto"/>
      </w:pPr>
      <w:r>
        <w:rPr>
          <w:rFonts w:ascii="Arial" w:hAnsi="Arial"/>
          <w:color w:val="323232"/>
          <w:sz w:val="20"/>
        </w:rPr>
        <w:t>The project is not merely a marketing facade; it houses a complete, functional software application ready for immediate user sign-in and mobile installation.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293B"/>
          <w:sz w:val="28"/>
        </w:rPr>
        <w:t>Authentication &amp; Role Governance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20"/>
        </w:rPr>
        <w:t>• Guest Sandbox Mode:</w:t>
      </w:r>
      <w:r>
        <w:rPr>
          <w:rFonts w:ascii="Arial" w:hAnsi="Arial"/>
          <w:color w:val="323232"/>
          <w:sz w:val="20"/>
        </w:rPr>
        <w:t xml:space="preserve"> Instant one-click guest preview so judges can evaluate the app immediately without signup friction.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20"/>
        </w:rPr>
        <w:t>• Authenticated User Session:</w:t>
      </w:r>
      <w:r>
        <w:rPr>
          <w:rFonts w:ascii="Arial" w:hAnsi="Arial"/>
          <w:color w:val="323232"/>
          <w:sz w:val="20"/>
        </w:rPr>
        <w:t xml:space="preserve"> Powered by Clerk Authentication, supporting Google, GitHub, and email/password sign-in with user profile syncing.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20"/>
        </w:rPr>
        <w:t>• Judge &amp; Admin Telemetry HUD:</w:t>
      </w:r>
      <w:r>
        <w:rPr>
          <w:rFonts w:ascii="Arial" w:hAnsi="Arial"/>
          <w:color w:val="323232"/>
          <w:sz w:val="20"/>
        </w:rPr>
        <w:t xml:space="preserve"> Dedicated toggle enabling judges to inspect raw database states, rate-limit consumption, and background task logs.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293B"/>
          <w:sz w:val="28"/>
        </w:rPr>
        <w:t>Progressive Web App (PWA) Architecture</w:t>
      </w:r>
    </w:p>
    <w:p>
      <w:pPr>
        <w:spacing w:before="0" w:after="80" w:line="276" w:lineRule="auto"/>
      </w:pPr>
      <w:r>
        <w:rPr>
          <w:rFonts w:ascii="Arial" w:hAnsi="Arial"/>
          <w:color w:val="323232"/>
          <w:sz w:val="20"/>
        </w:rPr>
        <w:t>• Web App Manifest (manifest.json): Configured with 'display: standalone', custom app icons (192px and 512px), background color '#08090D', and theme color '#08090D' for seamless full-screen mobile integration without browser chrome.</w:t>
      </w:r>
    </w:p>
    <w:p>
      <w:pPr>
        <w:spacing w:before="0" w:after="80" w:line="276" w:lineRule="auto"/>
      </w:pPr>
      <w:r>
        <w:rPr>
          <w:rFonts w:ascii="Arial" w:hAnsi="Arial"/>
          <w:color w:val="323232"/>
          <w:sz w:val="20"/>
        </w:rPr>
        <w:t>• Service Worker &amp; Caching: Static UI bundles are aggressively cached via Cache-First strategies, while dynamic problem data uses Stale-While-Revalidate with IndexedDB local fallbacks.</w:t>
      </w:r>
    </w:p>
    <w:p>
      <w:pPr>
        <w:spacing w:before="0" w:after="80" w:line="276" w:lineRule="auto"/>
      </w:pPr>
      <w:r>
        <w:rPr>
          <w:rFonts w:ascii="Arial" w:hAnsi="Arial"/>
          <w:color w:val="323232"/>
          <w:sz w:val="20"/>
        </w:rPr>
        <w:t>• Install Prompt: An unobtrusive, elegant toast prompts mobile users: 'Install Orcathon Companion to Home Screen'.</w:t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6"/>
        </w:rPr>
        <w:t>5. Pitch Video &amp; Presentation Engine</w:t>
      </w:r>
    </w:p>
    <w:p>
      <w:pPr>
        <w:spacing w:before="0" w:after="80" w:line="276" w:lineRule="auto"/>
      </w:pPr>
      <w:r>
        <w:rPr>
          <w:rFonts w:ascii="Arial" w:hAnsi="Arial"/>
          <w:color w:val="323232"/>
          <w:sz w:val="20"/>
        </w:rPr>
        <w:t>One of the greatest competitive advantages of this architecture is its dual role as a video generator and pitch deck: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000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41414"/>
                <w:sz w:val="21"/>
              </w:rPr>
              <w:t>📌 Instant Hackathon Demo Video</w:t>
              <w:br/>
            </w:r>
            <w:r>
              <w:rPr>
                <w:rFonts w:ascii="Arial" w:hAnsi="Arial"/>
                <w:color w:val="3C3C3C"/>
                <w:sz w:val="20"/>
              </w:rPr>
              <w:t>By opening the website in browser full-screen and scrolling at an even pace with a screen recorder, the site creates a cinematic product launch video. The smooth 3D transitions and camera choreography look like a multi-thousand-dollar studio render, requiring zero post-production editing.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20"/>
        </w:rPr>
        <w:t>• Built-In Slide Deck Mode:</w:t>
      </w:r>
      <w:r>
        <w:rPr>
          <w:rFonts w:ascii="Arial" w:hAnsi="Arial"/>
          <w:color w:val="323232"/>
          <w:sz w:val="20"/>
        </w:rPr>
        <w:t xml:space="preserve"> A keyboard listener (Arrow Right / Spacebar) snaps the viewport between the 6 distinct narrative acts.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20"/>
        </w:rPr>
        <w:t>• Live Interactive Defense:</w:t>
      </w:r>
      <w:r>
        <w:rPr>
          <w:rFonts w:ascii="Arial" w:hAnsi="Arial"/>
          <w:color w:val="323232"/>
          <w:sz w:val="20"/>
        </w:rPr>
        <w:t xml:space="preserve"> You can pitch to judges live from the live Vercel URL, demonstrating that your pitch deck IS the live software itself.</w:t>
      </w: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6"/>
        </w:rPr>
        <w:t>6. Technical Stack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Role &amp; Justification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Framework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Next.js 16 + React 19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App Router, Turbopack, Server Actions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3D &amp; Motion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Three.js + R3F + GSAP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PBR lighting, device choreography, scroll timeline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Authentication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Clerk Next.js v7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Production sign-in, session tokens, user metadata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Database / ORM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Supabase + Drizzle ORM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PostgreSQL pool, type-safe schema, JSONB support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Rate Limiter / Cache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Upstash Redis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Sliding-window API security, real-time counter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20" w:after="120"/>
      </w:pPr>
      <w:r>
        <w:rPr>
          <w:rFonts w:ascii="Arial" w:hAnsi="Arial"/>
          <w:b/>
          <w:color w:val="0F172A"/>
          <w:sz w:val="36"/>
        </w:rPr>
        <w:t>7. Execution Readiness Protocol</w:t>
      </w:r>
    </w:p>
    <w:p>
      <w:pPr>
        <w:spacing w:before="0" w:after="80" w:line="276" w:lineRule="auto"/>
      </w:pPr>
      <w:r>
        <w:rPr>
          <w:rFonts w:ascii="Arial" w:hAnsi="Arial"/>
          <w:color w:val="323232"/>
          <w:sz w:val="20"/>
        </w:rPr>
        <w:t>When the problem statement is released, the following 3-step rapid deployment sequence will be executed: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20"/>
        </w:rPr>
        <w:t>Step 1 (Problem Ingestion):</w:t>
      </w:r>
      <w:r>
        <w:rPr>
          <w:rFonts w:ascii="Arial" w:hAnsi="Arial"/>
          <w:color w:val="323232"/>
          <w:sz w:val="20"/>
        </w:rPr>
        <w:t xml:space="preserve"> Extract the core user persona, primary pain point, and success metrics from the released prompt.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20"/>
        </w:rPr>
        <w:t>Step 2 (Schema &amp; App Logic):</w:t>
      </w:r>
      <w:r>
        <w:rPr>
          <w:rFonts w:ascii="Arial" w:hAnsi="Arial"/>
          <w:color w:val="323232"/>
          <w:sz w:val="20"/>
        </w:rPr>
        <w:t xml:space="preserve"> Inject the problem statement into the App Router routes (/app and /api) and populate the live desktop/mobile viewports.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20"/>
        </w:rPr>
        <w:t>Step 3 (Deployment &amp; Video):</w:t>
      </w:r>
      <w:r>
        <w:rPr>
          <w:rFonts w:ascii="Arial" w:hAnsi="Arial"/>
          <w:color w:val="323232"/>
          <w:sz w:val="20"/>
        </w:rPr>
        <w:t xml:space="preserve"> Deploy instantly to Vercel via GitHub CI/CD, verify mobile PWA install, and record the 3-minute pitch video directly from the live URL.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C8C8C"/>
        <w:sz w:val="16"/>
      </w:rPr>
      <w:t>Confidential — Orcathon 2026 Hackathon Final Submission Blueprint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C8C8C"/>
        <w:sz w:val="16"/>
      </w:rPr>
      <w:t>ORCATHON 2026 | SYSTEM ARCHITECTURE &amp; PRODUCT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