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Arial" w:hAnsi="Arial"/>
          <w:b/>
          <w:color w:val="0F172A"/>
          <w:sz w:val="44"/>
        </w:rPr>
        <w:t>Orcathon 2026: Master Engineering &amp; Agent Specification</w:t>
      </w:r>
    </w:p>
    <w:p>
      <w:pPr>
        <w:spacing w:before="0" w:after="240"/>
      </w:pPr>
      <w:r>
        <w:rPr>
          <w:rFonts w:ascii="Arial" w:hAnsi="Arial"/>
          <w:color w:val="64748B"/>
          <w:sz w:val="22"/>
        </w:rPr>
        <w:t>Granular Architecture, Pixel-Perfect UI Wireframes, Responsive Protocols, Backend Schemas, and Vercel Deployment Blueprint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48"/>
            <w:shd w:fill="FFFBEB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24" w:space="0" w:color="D97706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92400E"/>
                <w:sz w:val="20"/>
              </w:rPr>
              <w:t>⚠️ MANDATORY AGENT DIRECTIVE: ALL SPECIFICATIONS ARE SUBJECT TO CHANGE</w:t>
              <w:br/>
            </w:r>
            <w:r>
              <w:rPr>
                <w:rFonts w:ascii="Arial" w:hAnsi="Arial"/>
                <w:color w:val="B45309"/>
                <w:sz w:val="19"/>
              </w:rPr>
              <w:t>CRITICAL: Everything documented in this specification — including database tables, API payloads, UI views, problem categories, device screens, copy, and features — is a modular architectural foundation and is STRICTLY SUBJECT TO CHANGE based on the officially released hackathon problem statement.</w:t>
              <w:br/>
              <w:br/>
              <w:t>All coding agents (Antigravity, Cursor, Claude Code) must maintain the underlying engineering stack (Next.js 16 + Three.js + Clerk + Supabase + Drizzle + Upstash + PWA + Vercel) while completely adapting domain models, mockups, copy, and endpoints to solve the released problem statement.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20" w:after="80"/>
      </w:pPr>
      <w:r>
        <w:rPr>
          <w:rFonts w:ascii="Arial" w:hAnsi="Arial"/>
          <w:b/>
          <w:color w:val="0F172A"/>
          <w:sz w:val="32"/>
        </w:rPr>
        <w:t>1. Architecture Overview (Subject to Problem Statement Domain)</w:t>
      </w:r>
    </w:p>
    <w:p>
      <w:pPr>
        <w:spacing w:before="0" w:after="70" w:line="276" w:lineRule="auto"/>
      </w:pPr>
      <w:r>
        <w:rPr>
          <w:rFonts w:ascii="Arial" w:hAnsi="Arial"/>
          <w:color w:val="334155"/>
          <w:sz w:val="19"/>
        </w:rPr>
        <w:t>The Orcathon platform establishes a production-ready template that can be instantly customized once the problem statement drops. It unifies three core capabilities:</w:t>
      </w:r>
    </w:p>
    <w:p>
      <w:pPr>
        <w:spacing w:before="0" w:after="70" w:line="276" w:lineRule="auto"/>
      </w:pPr>
      <w:r>
        <w:rPr>
          <w:rFonts w:ascii="Arial" w:hAnsi="Arial"/>
          <w:b/>
          <w:color w:val="0F172A"/>
          <w:sz w:val="19"/>
        </w:rPr>
        <w:t>1. Flagship Presentation Layer:</w:t>
      </w:r>
      <w:r>
        <w:rPr>
          <w:rFonts w:ascii="Arial" w:hAnsi="Arial"/>
          <w:color w:val="334155"/>
          <w:sz w:val="19"/>
        </w:rPr>
        <w:t xml:space="preserve"> A cinematic landing page inspired by Oryzo AI (Lusion), featuring CAD vector overlays and floating application viewports (Content subject to problem statement).</w:t>
      </w:r>
    </w:p>
    <w:p>
      <w:pPr>
        <w:spacing w:before="0" w:after="70" w:line="276" w:lineRule="auto"/>
      </w:pPr>
      <w:r>
        <w:rPr>
          <w:rFonts w:ascii="Arial" w:hAnsi="Arial"/>
          <w:b/>
          <w:color w:val="0F172A"/>
          <w:sz w:val="19"/>
        </w:rPr>
        <w:t>2. Functional Production Application:</w:t>
      </w:r>
      <w:r>
        <w:rPr>
          <w:rFonts w:ascii="Arial" w:hAnsi="Arial"/>
          <w:color w:val="334155"/>
          <w:sz w:val="19"/>
        </w:rPr>
        <w:t xml:space="preserve"> A functional Next.js 16 + React 19 application backed by Clerk Auth, Supabase PostgreSQL, Drizzle ORM, and an offline-ready Progressive Web App (PWA) (App logic subject to problem statement).</w:t>
      </w:r>
    </w:p>
    <w:p>
      <w:pPr>
        <w:spacing w:before="0" w:after="70" w:line="276" w:lineRule="auto"/>
      </w:pPr>
      <w:r>
        <w:rPr>
          <w:rFonts w:ascii="Arial" w:hAnsi="Arial"/>
          <w:b/>
          <w:color w:val="0F172A"/>
          <w:sz w:val="19"/>
        </w:rPr>
        <w:t>3. Video &amp; Pitch Deck Engine:</w:t>
      </w:r>
      <w:r>
        <w:rPr>
          <w:rFonts w:ascii="Arial" w:hAnsi="Arial"/>
          <w:color w:val="334155"/>
          <w:sz w:val="19"/>
        </w:rPr>
        <w:t xml:space="preserve"> A scroll-driven narrative designed to be screen-recorded for the 3-minute hackathon demo video and navigated via keyboard for live judging defense (Narrative subject to problem statement).</w:t>
      </w:r>
    </w:p>
    <w:p>
      <w:pPr>
        <w:pStyle w:val="Heading1"/>
        <w:keepNext/>
        <w:spacing w:before="320" w:after="80"/>
      </w:pPr>
      <w:r>
        <w:rPr>
          <w:rFonts w:ascii="Arial" w:hAnsi="Arial"/>
          <w:b/>
          <w:color w:val="0F172A"/>
          <w:sz w:val="32"/>
        </w:rPr>
        <w:t>2. Exact Pixel-Perfect UI Design &amp; Blueprint Schematics (Layouts Non-Negotiable)</w:t>
      </w:r>
    </w:p>
    <w:p>
      <w:pPr>
        <w:spacing w:before="0" w:after="70" w:line="276" w:lineRule="auto"/>
      </w:pPr>
      <w:r>
        <w:rPr>
          <w:rFonts w:ascii="Arial" w:hAnsi="Arial"/>
          <w:color w:val="334155"/>
          <w:sz w:val="19"/>
        </w:rPr>
        <w:t>The following exact dimensions, layout grids, and component hierarchies govern all routes. Coding agents must adhere to these exact structures:</w:t>
      </w:r>
    </w:p>
    <w:p>
      <w:pPr>
        <w:pStyle w:val="Heading2"/>
        <w:keepNext/>
        <w:spacing w:before="240" w:after="60"/>
      </w:pPr>
      <w:r>
        <w:rPr>
          <w:rFonts w:ascii="Arial" w:hAnsi="Arial"/>
          <w:b/>
          <w:color w:val="1E293B"/>
          <w:sz w:val="26"/>
        </w:rPr>
        <w:t>2.1 Global Sticky Navigation Bar (src/components/navbar.tsx)</w:t>
      </w:r>
    </w:p>
    <w:p>
      <w:pPr>
        <w:spacing w:before="0" w:after="70" w:line="276" w:lineRule="auto"/>
      </w:pPr>
      <w:r>
        <w:rPr>
          <w:rFonts w:ascii="Arial" w:hAnsi="Arial"/>
          <w:color w:val="334155"/>
          <w:sz w:val="19"/>
        </w:rPr>
        <w:t>• Dimensions &amp; Container: Fixed top-0, height 64px (h-16), z-index 50, max-w-7xl mx-auto px-6.</w:t>
      </w:r>
    </w:p>
    <w:p>
      <w:pPr>
        <w:spacing w:before="0" w:after="70" w:line="276" w:lineRule="auto"/>
      </w:pPr>
      <w:r>
        <w:rPr>
          <w:rFonts w:ascii="Arial" w:hAnsi="Arial"/>
          <w:color w:val="334155"/>
          <w:sz w:val="19"/>
        </w:rPr>
        <w:t>• Backdrop: bg-[#08090d]/80 backdrop-blur-md border-b border-[rgba(255,237,214,0.08)].</w:t>
      </w:r>
    </w:p>
    <w:p>
      <w:pPr>
        <w:spacing w:before="0" w:after="70" w:line="276" w:lineRule="auto"/>
      </w:pPr>
      <w:r>
        <w:rPr>
          <w:rFonts w:ascii="Arial" w:hAnsi="Arial"/>
          <w:color w:val="334155"/>
          <w:sz w:val="19"/>
        </w:rPr>
        <w:t>• Left: Orcathon 2026 Wordmark with amber dot; Center: Pill navigation items ([Overview], [Solution], [Telemetry], [Specs]); Right: Live edge latency badge (14ms edge) and 'Launch App -&gt;' pill CTA.</w:t>
      </w:r>
    </w:p>
    <w:p>
      <w:pPr>
        <w:pStyle w:val="Heading2"/>
        <w:keepNext/>
        <w:spacing w:before="240" w:after="60"/>
      </w:pPr>
      <w:r>
        <w:rPr>
          <w:rFonts w:ascii="Arial" w:hAnsi="Arial"/>
          <w:b/>
          <w:color w:val="1E293B"/>
          <w:sz w:val="26"/>
        </w:rPr>
        <w:t>2.2 Act 1: Hero Viewport (src/components/hero/index.tsx)</w:t>
      </w:r>
    </w:p>
    <w:p>
      <w:pPr>
        <w:spacing w:before="0" w:after="70" w:line="276" w:lineRule="auto"/>
      </w:pPr>
      <w:r>
        <w:rPr>
          <w:rFonts w:ascii="Arial" w:hAnsi="Arial"/>
          <w:color w:val="334155"/>
          <w:sz w:val="19"/>
        </w:rPr>
        <w:t>• Top Sub-bar: Left: 'ENGINEERED FOR REAL-WORLD STAKES. BUILT FOR SCALE.'; Right: Live 48:00:00 Countdown Pill.</w:t>
      </w:r>
    </w:p>
    <w:p>
      <w:pPr>
        <w:spacing w:before="0" w:after="70" w:line="276" w:lineRule="auto"/>
      </w:pPr>
      <w:r>
        <w:rPr>
          <w:rFonts w:ascii="Arial" w:hAnsi="Arial"/>
          <w:color w:val="334155"/>
          <w:sz w:val="19"/>
        </w:rPr>
        <w:t>• Main Title: RESOLVING THE UNRESOLVED. (Outfit 900, text-white/text-[#ffedd6], 72px desktop / 36px mobile).</w:t>
      </w:r>
    </w:p>
    <w:p>
      <w:pPr>
        <w:spacing w:before="0" w:after="70" w:line="276" w:lineRule="auto"/>
      </w:pPr>
      <w:r>
        <w:rPr>
          <w:rFonts w:ascii="Arial" w:hAnsi="Arial"/>
          <w:color w:val="334155"/>
          <w:sz w:val="19"/>
        </w:rPr>
        <w:t>• CAD Vector Bounding Box: Dashed lines, corner crosshairs (+), coordinate markers ([X: +142.10, Y: -89.44]).</w:t>
      </w:r>
    </w:p>
    <w:p>
      <w:pPr>
        <w:spacing w:before="0" w:after="70" w:line="276" w:lineRule="auto"/>
      </w:pPr>
      <w:r>
        <w:rPr>
          <w:rFonts w:ascii="Arial" w:hAnsi="Arial"/>
          <w:color w:val="334155"/>
          <w:sz w:val="19"/>
        </w:rPr>
        <w:t>• Center Stage: 3D floating phone/device model with dynamic screen UI tilting to mouse coordinates.</w:t>
      </w:r>
    </w:p>
    <w:p>
      <w:pPr>
        <w:pStyle w:val="Heading2"/>
        <w:keepNext/>
        <w:spacing w:before="240" w:after="60"/>
      </w:pPr>
      <w:r>
        <w:rPr>
          <w:rFonts w:ascii="Arial" w:hAnsi="Arial"/>
          <w:b/>
          <w:color w:val="1E293B"/>
          <w:sz w:val="26"/>
        </w:rPr>
        <w:t>2.3 Act 2: Expanding Desktop Browser Pane (src/components/panes/DesktopAppPane.tsx)</w:t>
      </w:r>
    </w:p>
    <w:p>
      <w:pPr>
        <w:spacing w:before="0" w:after="70" w:line="276" w:lineRule="auto"/>
      </w:pPr>
      <w:r>
        <w:rPr>
          <w:rFonts w:ascii="Arial" w:hAnsi="Arial"/>
          <w:color w:val="334155"/>
          <w:sz w:val="19"/>
        </w:rPr>
        <w:t>• Window Shell: max-w-6xl mx-auto, aspect-[16/10], rounded-2xl border border-[rgba(255,237,214,0.12)] bg-[#0d0f17] shadow-2xl.</w:t>
      </w:r>
    </w:p>
    <w:p>
      <w:pPr>
        <w:spacing w:before="0" w:after="70" w:line="276" w:lineRule="auto"/>
      </w:pPr>
      <w:r>
        <w:rPr>
          <w:rFonts w:ascii="Arial" w:hAnsi="Arial"/>
          <w:color w:val="334155"/>
          <w:sz w:val="19"/>
        </w:rPr>
        <w:t>• Titlebar (h-10): Red/Yellow/Green window dots, center URL pill (https://orcathon.app/dashboard), and 'TLS 1.3 | HTTP/3' badge.</w:t>
      </w:r>
    </w:p>
    <w:p>
      <w:pPr>
        <w:spacing w:before="0" w:after="70" w:line="276" w:lineRule="auto"/>
      </w:pPr>
      <w:r>
        <w:rPr>
          <w:rFonts w:ascii="Arial" w:hAnsi="Arial"/>
          <w:color w:val="334155"/>
          <w:sz w:val="19"/>
        </w:rPr>
        <w:t>• Main Workspace: Left sidebar rail (200px) with 3-card metric grid ([Impact], [Latency: 12ms], [Verification Hash: #8F3A]).</w:t>
      </w:r>
    </w:p>
    <w:p>
      <w:pPr>
        <w:pStyle w:val="Heading2"/>
        <w:keepNext/>
        <w:spacing w:before="240" w:after="60"/>
      </w:pPr>
      <w:r>
        <w:rPr>
          <w:rFonts w:ascii="Arial" w:hAnsi="Arial"/>
          <w:b/>
          <w:color w:val="1E293B"/>
          <w:sz w:val="26"/>
        </w:rPr>
        <w:t>2.4 Act 4: The 'Smart Flip' Telemetry Workbench (src/components/telemetry/FlipWorkbench.tsx)</w:t>
      </w:r>
    </w:p>
    <w:p>
      <w:pPr>
        <w:spacing w:before="0" w:after="70" w:line="276" w:lineRule="auto"/>
      </w:pPr>
      <w:r>
        <w:rPr>
          <w:rFonts w:ascii="Arial" w:hAnsi="Arial"/>
          <w:color w:val="334155"/>
          <w:sz w:val="19"/>
        </w:rPr>
        <w:t>• Background: Dark green cutting mat (#0d1a12) with 20px grid lines (#183324) and SVG craft accessories.</w:t>
      </w:r>
    </w:p>
    <w:p>
      <w:pPr>
        <w:spacing w:before="0" w:after="70" w:line="276" w:lineRule="auto"/>
      </w:pPr>
      <w:r>
        <w:rPr>
          <w:rFonts w:ascii="Arial" w:hAnsi="Arial"/>
          <w:color w:val="334155"/>
          <w:sz w:val="19"/>
        </w:rPr>
        <w:t>• Flip Trigger: Central pill button ('Flip to Telemetry Engine'). Rotates the device 180 degrees.</w:t>
      </w:r>
    </w:p>
    <w:p>
      <w:pPr>
        <w:spacing w:before="0" w:after="70" w:line="276" w:lineRule="auto"/>
      </w:pPr>
      <w:r>
        <w:rPr>
          <w:rFonts w:ascii="Arial" w:hAnsi="Arial"/>
          <w:color w:val="334155"/>
          <w:sz w:val="19"/>
        </w:rPr>
        <w:t>• Backface Engine: Live Drizzle ORM query terminal, Supabase pooler ping gauge, and Upstash Redis rate counter.</w:t>
      </w:r>
    </w:p>
    <w:p>
      <w:pPr>
        <w:pStyle w:val="Heading2"/>
        <w:keepNext/>
        <w:spacing w:before="240" w:after="60"/>
      </w:pPr>
      <w:r>
        <w:rPr>
          <w:rFonts w:ascii="Arial" w:hAnsi="Arial"/>
          <w:b/>
          <w:color w:val="1E293B"/>
          <w:sz w:val="26"/>
        </w:rPr>
        <w:t>2.5 Act 5: Technical Blueprints &amp; Mathematical Validation</w:t>
      </w:r>
    </w:p>
    <w:p>
      <w:pPr>
        <w:spacing w:before="0" w:after="70" w:line="276" w:lineRule="auto"/>
      </w:pPr>
      <w:r>
        <w:rPr>
          <w:rFonts w:ascii="Arial" w:hAnsi="Arial"/>
          <w:color w:val="334155"/>
          <w:sz w:val="19"/>
        </w:rPr>
        <w:t>• Left: Mathematical formulation SVG box (C = 4*pi*A / P^2) and algorithmic latency decay curve.</w:t>
      </w:r>
    </w:p>
    <w:p>
      <w:pPr>
        <w:spacing w:before="0" w:after="70" w:line="276" w:lineRule="auto"/>
      </w:pPr>
      <w:r>
        <w:rPr>
          <w:rFonts w:ascii="Arial" w:hAnsi="Arial"/>
          <w:color w:val="334155"/>
          <w:sz w:val="19"/>
        </w:rPr>
        <w:t>• Right: Multi-tab code inspector (schema.ts, route.ts, worker.ts) with line numbers and copy buttons.</w:t>
      </w:r>
    </w:p>
    <w:p>
      <w:pPr>
        <w:pStyle w:val="Heading2"/>
        <w:keepNext/>
        <w:spacing w:before="240" w:after="60"/>
      </w:pPr>
      <w:r>
        <w:rPr>
          <w:rFonts w:ascii="Arial" w:hAnsi="Arial"/>
          <w:b/>
          <w:color w:val="1E293B"/>
          <w:sz w:val="26"/>
        </w:rPr>
        <w:t>2.6 Act 6: Editorial Bento Carousel &amp; Act 7 Minimalist Footer</w:t>
      </w:r>
    </w:p>
    <w:p>
      <w:pPr>
        <w:spacing w:before="0" w:after="70" w:line="276" w:lineRule="auto"/>
      </w:pPr>
      <w:r>
        <w:rPr>
          <w:rFonts w:ascii="Arial" w:hAnsi="Arial"/>
          <w:color w:val="334155"/>
          <w:sz w:val="19"/>
        </w:rPr>
        <w:t>• Carousel: Horizontal snap scroll with Magazine Cover (Issue No. 00124), 48h Warning Card, and 5-Star Testimonial.</w:t>
      </w:r>
    </w:p>
    <w:p>
      <w:pPr>
        <w:spacing w:before="0" w:after="70" w:line="276" w:lineRule="auto"/>
      </w:pPr>
      <w:r>
        <w:rPr>
          <w:rFonts w:ascii="Arial" w:hAnsi="Arial"/>
          <w:color w:val="334155"/>
          <w:sz w:val="19"/>
        </w:rPr>
        <w:t>• Footer: Bold headline ('IF WE CAN SOLVE THIS PROBLEM, IMAGINE WHAT WE CAN BUILD NEXT.'), newsletter input, and uptime dot.</w:t>
      </w:r>
    </w:p>
    <w:p>
      <w:pPr>
        <w:pStyle w:val="Heading1"/>
        <w:keepNext/>
        <w:spacing w:before="320" w:after="80"/>
      </w:pPr>
      <w:r>
        <w:rPr>
          <w:rFonts w:ascii="Arial" w:hAnsi="Arial"/>
          <w:b/>
          <w:color w:val="0F172A"/>
          <w:sz w:val="32"/>
        </w:rPr>
        <w:t>3. Visual Benchmark Analysis (The Oryzo Reference)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6929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yzo_hero_loaded_179276295910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92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hAnsi="Arial"/>
          <w:i/>
          <w:color w:val="64748B"/>
          <w:sz w:val="17"/>
        </w:rPr>
        <w:t>Visual Reference: Oryzo Hero: Precision CAD vector bounding boxes, coordinate calipers, and warm studio lighting (Style reference only; content subject to problem statement).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6929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yzo_coaster_ai_section_17927629691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92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hAnsi="Arial"/>
          <w:i/>
          <w:color w:val="64748B"/>
          <w:sz w:val="17"/>
        </w:rPr>
        <w:t>Visual Reference: Oryzo Scroll Parallax: Smooth momentum scroll with high-contrast editorial typography and anti-slop dark palette.</w:t>
      </w:r>
    </w:p>
    <w:p>
      <w:pPr>
        <w:pStyle w:val="Heading1"/>
        <w:keepNext/>
        <w:spacing w:before="320" w:after="80"/>
      </w:pPr>
      <w:r>
        <w:rPr>
          <w:rFonts w:ascii="Arial" w:hAnsi="Arial"/>
          <w:b/>
          <w:color w:val="0F172A"/>
          <w:sz w:val="32"/>
        </w:rPr>
        <w:t>4. Design Tokens &amp; Component Styling Standard (Branding Subject to Problem Statement)</w:t>
      </w:r>
    </w:p>
    <w:p>
      <w:pPr>
        <w:spacing w:before="0" w:after="70" w:line="276" w:lineRule="auto"/>
      </w:pPr>
      <w:r>
        <w:rPr>
          <w:rFonts w:ascii="Arial" w:hAnsi="Arial"/>
          <w:color w:val="334155"/>
          <w:sz w:val="19"/>
        </w:rPr>
        <w:t>Core design tokens are defined in src/app/globals.css. The accent colors can be fine-tuned to match the released problem statement domain: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3168"/>
        <w:gridCol w:w="3600"/>
      </w:tblGrid>
      <w:tr>
        <w:tc>
          <w:tcPr>
            <w:tcW w:type="dxa" w:w="3216"/>
            <w:shd w:fill="0F172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Token Name</w:t>
            </w:r>
          </w:p>
        </w:tc>
        <w:tc>
          <w:tcPr>
            <w:tcW w:type="dxa" w:w="3216"/>
            <w:shd w:fill="0F172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Base Value / Hex</w:t>
            </w:r>
          </w:p>
        </w:tc>
        <w:tc>
          <w:tcPr>
            <w:tcW w:type="dxa" w:w="3216"/>
            <w:shd w:fill="0F172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Usage Rule (Subject to Problem Statement)</w:t>
            </w:r>
          </w:p>
        </w:tc>
      </w:tr>
      <w:tr>
        <w:tc>
          <w:tcPr>
            <w:tcW w:type="dxa" w:w="321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--background</w:t>
            </w:r>
          </w:p>
        </w:tc>
        <w:tc>
          <w:tcPr>
            <w:tcW w:type="dxa" w:w="321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#08090D</w:t>
            </w:r>
          </w:p>
        </w:tc>
        <w:tc>
          <w:tcPr>
            <w:tcW w:type="dxa" w:w="321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Deep pitch noir base for all pages</w:t>
            </w:r>
          </w:p>
        </w:tc>
      </w:tr>
      <w:tr>
        <w:tc>
          <w:tcPr>
            <w:tcW w:type="dxa" w:w="321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--cream-accent</w:t>
            </w:r>
          </w:p>
        </w:tc>
        <w:tc>
          <w:tcPr>
            <w:tcW w:type="dxa" w:w="321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#FFEDD6</w:t>
            </w:r>
          </w:p>
        </w:tc>
        <w:tc>
          <w:tcPr>
            <w:tcW w:type="dxa" w:w="321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Oryzo signature vanilla cream (adaptable to brand)</w:t>
            </w:r>
          </w:p>
        </w:tc>
      </w:tr>
      <w:tr>
        <w:tc>
          <w:tcPr>
            <w:tcW w:type="dxa" w:w="321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--surface-card</w:t>
            </w:r>
          </w:p>
        </w:tc>
        <w:tc>
          <w:tcPr>
            <w:tcW w:type="dxa" w:w="321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rgba(18, 20, 29, 0.70)</w:t>
            </w:r>
          </w:p>
        </w:tc>
        <w:tc>
          <w:tcPr>
            <w:tcW w:type="dxa" w:w="321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Translucent frosted card surface with backdrop blur</w:t>
            </w:r>
          </w:p>
        </w:tc>
      </w:tr>
      <w:tr>
        <w:tc>
          <w:tcPr>
            <w:tcW w:type="dxa" w:w="321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--border-subtle</w:t>
            </w:r>
          </w:p>
        </w:tc>
        <w:tc>
          <w:tcPr>
            <w:tcW w:type="dxa" w:w="321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rgba(255, 237, 214, 0.08)</w:t>
            </w:r>
          </w:p>
        </w:tc>
        <w:tc>
          <w:tcPr>
            <w:tcW w:type="dxa" w:w="321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Fine 1px hair-line borders for CAD grids</w:t>
            </w:r>
          </w:p>
        </w:tc>
      </w:tr>
      <w:tr>
        <w:tc>
          <w:tcPr>
            <w:tcW w:type="dxa" w:w="321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--border-prominent</w:t>
            </w:r>
          </w:p>
        </w:tc>
        <w:tc>
          <w:tcPr>
            <w:tcW w:type="dxa" w:w="321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rgba(255, 237, 214, 0.18)</w:t>
            </w:r>
          </w:p>
        </w:tc>
        <w:tc>
          <w:tcPr>
            <w:tcW w:type="dxa" w:w="321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Hover and active focus states on buttons and inputs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320" w:after="80"/>
      </w:pPr>
      <w:r>
        <w:rPr>
          <w:rFonts w:ascii="Arial" w:hAnsi="Arial"/>
          <w:b/>
          <w:color w:val="0F172A"/>
          <w:sz w:val="32"/>
        </w:rPr>
        <w:t>5. Mobile Phone Responsiveness &amp; Touch Optimization (App Screens Subject to Change)</w:t>
      </w:r>
    </w:p>
    <w:p>
      <w:pPr>
        <w:spacing w:before="0" w:after="70" w:line="276" w:lineRule="auto"/>
      </w:pPr>
      <w:r>
        <w:rPr>
          <w:rFonts w:ascii="Arial" w:hAnsi="Arial"/>
          <w:color w:val="334155"/>
          <w:sz w:val="19"/>
        </w:rPr>
        <w:t>The entire application must operate flawlessly on smartphones (iOS Safari and Android Chrome):</w:t>
      </w:r>
    </w:p>
    <w:p>
      <w:pPr>
        <w:spacing w:before="0" w:after="70" w:line="276" w:lineRule="auto"/>
      </w:pPr>
      <w:r>
        <w:rPr>
          <w:rFonts w:ascii="Arial" w:hAnsi="Arial"/>
          <w:b/>
          <w:color w:val="0F172A"/>
          <w:sz w:val="19"/>
        </w:rPr>
        <w:t>• Dynamic Viewport Units (min-h-dvh):</w:t>
      </w:r>
      <w:r>
        <w:rPr>
          <w:rFonts w:ascii="Arial" w:hAnsi="Arial"/>
          <w:color w:val="334155"/>
          <w:sz w:val="19"/>
        </w:rPr>
        <w:t xml:space="preserve"> The root layout utilizes dynamic viewport height units to prevent iOS address bars from clipping content.</w:t>
      </w:r>
    </w:p>
    <w:p>
      <w:pPr>
        <w:spacing w:before="0" w:after="70" w:line="276" w:lineRule="auto"/>
      </w:pPr>
      <w:r>
        <w:rPr>
          <w:rFonts w:ascii="Arial" w:hAnsi="Arial"/>
          <w:b/>
          <w:color w:val="0F172A"/>
          <w:sz w:val="19"/>
        </w:rPr>
        <w:t>• Notch &amp; Home Bar Insets:</w:t>
      </w:r>
      <w:r>
        <w:rPr>
          <w:rFonts w:ascii="Arial" w:hAnsi="Arial"/>
          <w:color w:val="334155"/>
          <w:sz w:val="19"/>
        </w:rPr>
        <w:t xml:space="preserve"> Safe-area-inset-top and safe-area-inset-bottom are enforced on all sticky headers, floating navbars, and bottom bars.</w:t>
      </w:r>
    </w:p>
    <w:p>
      <w:pPr>
        <w:spacing w:before="0" w:after="70" w:line="276" w:lineRule="auto"/>
      </w:pPr>
      <w:r>
        <w:rPr>
          <w:rFonts w:ascii="Arial" w:hAnsi="Arial"/>
          <w:b/>
          <w:color w:val="0F172A"/>
          <w:sz w:val="19"/>
        </w:rPr>
        <w:t>• 3D Canvas Mobile Fallback:</w:t>
      </w:r>
      <w:r>
        <w:rPr>
          <w:rFonts w:ascii="Arial" w:hAnsi="Arial"/>
          <w:color w:val="334155"/>
          <w:sz w:val="19"/>
        </w:rPr>
        <w:t xml:space="preserve"> On mobile screens (&lt;640px), the 3D WebGL engine automatically clamps devicePixelRatio to 1.0, disables post-processing passes, and uses passive touch gestures to ensure zero stutter and 60fps lock.</w:t>
      </w:r>
    </w:p>
    <w:p>
      <w:pPr>
        <w:spacing w:before="0" w:after="70" w:line="276" w:lineRule="auto"/>
      </w:pPr>
      <w:r>
        <w:rPr>
          <w:rFonts w:ascii="Arial" w:hAnsi="Arial"/>
          <w:b/>
          <w:color w:val="0F172A"/>
          <w:sz w:val="19"/>
        </w:rPr>
        <w:t>• Responsive Panes:</w:t>
      </w:r>
      <w:r>
        <w:rPr>
          <w:rFonts w:ascii="Arial" w:hAnsi="Arial"/>
          <w:color w:val="334155"/>
          <w:sz w:val="19"/>
        </w:rPr>
        <w:t xml:space="preserve"> Side-by-side desktop viewports seamlessly stack into an intuitive single-column scroll with sticky category tabs.</w:t>
      </w:r>
    </w:p>
    <w:p>
      <w:pPr>
        <w:pStyle w:val="Heading1"/>
        <w:keepNext/>
        <w:spacing w:before="320" w:after="80"/>
      </w:pPr>
      <w:r>
        <w:rPr>
          <w:rFonts w:ascii="Arial" w:hAnsi="Arial"/>
          <w:b/>
          <w:color w:val="0F172A"/>
          <w:sz w:val="32"/>
        </w:rPr>
        <w:t>6. Backend Specifications &amp; Database Architecture (Schemas Strictly Subject to Change)</w:t>
      </w:r>
    </w:p>
    <w:p>
      <w:pPr>
        <w:spacing w:before="0" w:after="70" w:line="276" w:lineRule="auto"/>
      </w:pPr>
      <w:r>
        <w:rPr>
          <w:rFonts w:ascii="Arial" w:hAnsi="Arial"/>
          <w:color w:val="334155"/>
          <w:sz w:val="19"/>
        </w:rPr>
        <w:t>The backend is powered by Next.js 16 App Router serverless functions, Supabase PostgreSQL, Drizzle ORM, and Upstash Redis. NOTE: All table models and API routes are modular placeholders and MUST be updated to represent the exact entities required by the problem statement.</w:t>
      </w:r>
    </w:p>
    <w:p>
      <w:pPr>
        <w:pStyle w:val="Heading2"/>
        <w:keepNext/>
        <w:spacing w:before="240" w:after="60"/>
      </w:pPr>
      <w:r>
        <w:rPr>
          <w:rFonts w:ascii="Arial" w:hAnsi="Arial"/>
          <w:b/>
          <w:color w:val="1E293B"/>
          <w:sz w:val="26"/>
        </w:rPr>
        <w:t>6.1 Drizzle Schema Template (src/db/schema.ts — Subject to Change)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48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E2E8F0"/>
                <w:sz w:val="17"/>
              </w:rPr>
              <w:t>// TEMPLATE TABLE: Update fields to match the entities of the released problem statement</w:t>
              <w:br/>
              <w:t>import { pgTable, serial, text, integer, timestamp, jsonb } from "drizzle-orm/pg-core";</w:t>
              <w:br/>
              <w:br/>
              <w:t>export const problemSignals = pgTable("problem_signals", {</w:t>
              <w:br/>
              <w:t xml:space="preserve">  id: serial("id").primaryKey(),</w:t>
              <w:br/>
              <w:t xml:space="preserve">  title: text("title").notNull(),</w:t>
              <w:br/>
              <w:t xml:space="preserve">  category: text("category").notNull().default("general"), // Dynamic: health, civic, ai, fintech, etc.</w:t>
              <w:br/>
              <w:t xml:space="preserve">  status: text("status").notNull().default("open"),        // Dynamic: open, processing, resolved</w:t>
              <w:br/>
              <w:t xml:space="preserve">  impactScore: integer("impact_score").notNull().default(3), // 1-5 scale</w:t>
              <w:br/>
              <w:t xml:space="preserve">  notes: text("notes"),</w:t>
              <w:br/>
              <w:t xml:space="preserve">  evidenceMetadata: jsonb("evidence_metadata").$type&lt;{</w:t>
              <w:br/>
              <w:t xml:space="preserve">    reportedBy?: string;</w:t>
              <w:br/>
              <w:t xml:space="preserve">    metrics?: Record&lt;string, any&gt;;</w:t>
              <w:br/>
              <w:t xml:space="preserve">    customPayload?: Record&lt;string, any&gt;; // Adaptable to problem statement specifics</w:t>
              <w:br/>
              <w:t xml:space="preserve">  }&gt;().default({}),</w:t>
              <w:br/>
              <w:t xml:space="preserve">  createdAt: timestamp("created_at").defaultNow().notNull(),</w:t>
              <w:br/>
              <w:t>});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40" w:after="60"/>
      </w:pPr>
      <w:r>
        <w:rPr>
          <w:rFonts w:ascii="Arial" w:hAnsi="Arial"/>
          <w:b/>
          <w:color w:val="1E293B"/>
          <w:sz w:val="26"/>
        </w:rPr>
        <w:t>6.2 Serverless Connection Pooling</w:t>
      </w:r>
    </w:p>
    <w:p>
      <w:pPr>
        <w:spacing w:before="0" w:after="70" w:line="276" w:lineRule="auto"/>
      </w:pPr>
      <w:r>
        <w:rPr>
          <w:rFonts w:ascii="Arial" w:hAnsi="Arial"/>
          <w:color w:val="334155"/>
          <w:sz w:val="19"/>
        </w:rPr>
        <w:t>In src/db/index.ts, connections use the Supabase Transaction Pooler (port 6543) with pgbouncer=true. This prevents connection saturation when judges access the Vercel serverless deployment simultaneously.</w:t>
      </w:r>
    </w:p>
    <w:p>
      <w:pPr>
        <w:pStyle w:val="Heading2"/>
        <w:keepNext/>
        <w:spacing w:before="240" w:after="60"/>
      </w:pPr>
      <w:r>
        <w:rPr>
          <w:rFonts w:ascii="Arial" w:hAnsi="Arial"/>
          <w:b/>
          <w:color w:val="1E293B"/>
          <w:sz w:val="26"/>
        </w:rPr>
        <w:t>6.3 Rate Limiting &amp; Edge Caching (src/lib/redis.ts)</w:t>
      </w:r>
    </w:p>
    <w:p>
      <w:pPr>
        <w:spacing w:before="0" w:after="70" w:line="276" w:lineRule="auto"/>
      </w:pPr>
      <w:r>
        <w:rPr>
          <w:rFonts w:ascii="Arial" w:hAnsi="Arial"/>
          <w:color w:val="334155"/>
          <w:sz w:val="19"/>
        </w:rPr>
        <w:t>Powered by Upstash Redis REST. Uses sliding-window rate limiting (10 requests / 10s per client IP) to protect public API endpoints against spam while returning cached signal data instantly.</w:t>
      </w:r>
    </w:p>
    <w:p>
      <w:pPr>
        <w:pStyle w:val="Heading2"/>
        <w:keepNext/>
        <w:spacing w:before="240" w:after="60"/>
      </w:pPr>
      <w:r>
        <w:rPr>
          <w:rFonts w:ascii="Arial" w:hAnsi="Arial"/>
          <w:b/>
          <w:color w:val="1E293B"/>
          <w:sz w:val="26"/>
        </w:rPr>
        <w:t>6.4 Complete API Route Matrix (Operations Subject to Change)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152"/>
        <w:gridCol w:w="2016"/>
        <w:gridCol w:w="4032"/>
      </w:tblGrid>
      <w:tr>
        <w:tc>
          <w:tcPr>
            <w:tcW w:type="dxa" w:w="2412"/>
            <w:shd w:fill="0F172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2412"/>
            <w:shd w:fill="0F172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2412"/>
            <w:shd w:fill="0F172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Security</w:t>
            </w:r>
          </w:p>
        </w:tc>
        <w:tc>
          <w:tcPr>
            <w:tcW w:type="dxa" w:w="2412"/>
            <w:shd w:fill="0F172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Function &amp; Status</w:t>
            </w:r>
          </w:p>
        </w:tc>
      </w:tr>
      <w:tr>
        <w:tc>
          <w:tcPr>
            <w:tcW w:type="dxa" w:w="241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/api/health</w:t>
            </w:r>
          </w:p>
        </w:tc>
        <w:tc>
          <w:tcPr>
            <w:tcW w:type="dxa" w:w="241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GET</w:t>
            </w:r>
          </w:p>
        </w:tc>
        <w:tc>
          <w:tcPr>
            <w:tcW w:type="dxa" w:w="241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Public</w:t>
            </w:r>
          </w:p>
        </w:tc>
        <w:tc>
          <w:tcPr>
            <w:tcW w:type="dxa" w:w="241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Returns system status and Node runtime version (Fixed)</w:t>
            </w:r>
          </w:p>
        </w:tc>
      </w:tr>
      <w:tr>
        <w:tc>
          <w:tcPr>
            <w:tcW w:type="dxa" w:w="24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/api/db-check</w:t>
            </w:r>
          </w:p>
        </w:tc>
        <w:tc>
          <w:tcPr>
            <w:tcW w:type="dxa" w:w="24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GET</w:t>
            </w:r>
          </w:p>
        </w:tc>
        <w:tc>
          <w:tcPr>
            <w:tcW w:type="dxa" w:w="24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Public</w:t>
            </w:r>
          </w:p>
        </w:tc>
        <w:tc>
          <w:tcPr>
            <w:tcW w:type="dxa" w:w="24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Executes real SELECT query against Supabase Postgres (Fixed)</w:t>
            </w:r>
          </w:p>
        </w:tc>
      </w:tr>
      <w:tr>
        <w:tc>
          <w:tcPr>
            <w:tcW w:type="dxa" w:w="241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/api/redis-check</w:t>
            </w:r>
          </w:p>
        </w:tc>
        <w:tc>
          <w:tcPr>
            <w:tcW w:type="dxa" w:w="241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GET</w:t>
            </w:r>
          </w:p>
        </w:tc>
        <w:tc>
          <w:tcPr>
            <w:tcW w:type="dxa" w:w="241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Public</w:t>
            </w:r>
          </w:p>
        </w:tc>
        <w:tc>
          <w:tcPr>
            <w:tcW w:type="dxa" w:w="241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Pings Upstash Redis and tests rate limit counter (Fixed)</w:t>
            </w:r>
          </w:p>
        </w:tc>
      </w:tr>
      <w:tr>
        <w:tc>
          <w:tcPr>
            <w:tcW w:type="dxa" w:w="24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/api/signals</w:t>
            </w:r>
          </w:p>
        </w:tc>
        <w:tc>
          <w:tcPr>
            <w:tcW w:type="dxa" w:w="24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GET</w:t>
            </w:r>
          </w:p>
        </w:tc>
        <w:tc>
          <w:tcPr>
            <w:tcW w:type="dxa" w:w="24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Cached</w:t>
            </w:r>
          </w:p>
        </w:tc>
        <w:tc>
          <w:tcPr>
            <w:tcW w:type="dxa" w:w="24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Returns list of records (SUBJECT TO CHANGE TO PROBLEM STATEMENT)</w:t>
            </w:r>
          </w:p>
        </w:tc>
      </w:tr>
      <w:tr>
        <w:tc>
          <w:tcPr>
            <w:tcW w:type="dxa" w:w="241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/api/signals</w:t>
            </w:r>
          </w:p>
        </w:tc>
        <w:tc>
          <w:tcPr>
            <w:tcW w:type="dxa" w:w="241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POST</w:t>
            </w:r>
          </w:p>
        </w:tc>
        <w:tc>
          <w:tcPr>
            <w:tcW w:type="dxa" w:w="241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Rate-Guarded</w:t>
            </w:r>
          </w:p>
        </w:tc>
        <w:tc>
          <w:tcPr>
            <w:tcW w:type="dxa" w:w="241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Inserts verified solution record (SUBJECT TO CHANGE TO PROBLEM STATEMENT)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320" w:after="80"/>
      </w:pPr>
      <w:r>
        <w:rPr>
          <w:rFonts w:ascii="Arial" w:hAnsi="Arial"/>
          <w:b/>
          <w:color w:val="0F172A"/>
          <w:sz w:val="32"/>
        </w:rPr>
        <w:t>7. Authentication &amp; User Roles (Roles Subject to Problem Statement)</w:t>
      </w:r>
    </w:p>
    <w:p>
      <w:pPr>
        <w:spacing w:before="0" w:after="70" w:line="276" w:lineRule="auto"/>
      </w:pPr>
      <w:r>
        <w:rPr>
          <w:rFonts w:ascii="Arial" w:hAnsi="Arial"/>
          <w:color w:val="334155"/>
          <w:sz w:val="19"/>
        </w:rPr>
        <w:t>• Guest Sandbox Mode: Instant access to /app?demo=true so judges can evaluate the app without creating accounts.</w:t>
      </w:r>
    </w:p>
    <w:p>
      <w:pPr>
        <w:spacing w:before="0" w:after="70" w:line="276" w:lineRule="auto"/>
      </w:pPr>
      <w:r>
        <w:rPr>
          <w:rFonts w:ascii="Arial" w:hAnsi="Arial"/>
          <w:color w:val="334155"/>
          <w:sz w:val="19"/>
        </w:rPr>
        <w:t>• Authenticated User: Standard Clerk modal supporting GitHub, Google, and email authentication.</w:t>
      </w:r>
    </w:p>
    <w:p>
      <w:pPr>
        <w:spacing w:before="0" w:after="70" w:line="276" w:lineRule="auto"/>
      </w:pPr>
      <w:r>
        <w:rPr>
          <w:rFonts w:ascii="Arial" w:hAnsi="Arial"/>
          <w:color w:val="334155"/>
          <w:sz w:val="19"/>
        </w:rPr>
        <w:t>• User Roles (Subject to Change): Roles (e.g. Student/Teacher, Doctor/Patient, Buyer/Seller) will be assigned based on the problem statement.</w:t>
      </w:r>
    </w:p>
    <w:p>
      <w:pPr>
        <w:pStyle w:val="Heading1"/>
        <w:keepNext/>
        <w:spacing w:before="320" w:after="80"/>
      </w:pPr>
      <w:r>
        <w:rPr>
          <w:rFonts w:ascii="Arial" w:hAnsi="Arial"/>
          <w:b/>
          <w:color w:val="0F172A"/>
          <w:sz w:val="32"/>
        </w:rPr>
        <w:t>8. Progressive Web App (PWA) Implementation (Icons &amp; Names Subject to Change)</w:t>
      </w:r>
    </w:p>
    <w:p>
      <w:pPr>
        <w:spacing w:before="0" w:after="70" w:line="276" w:lineRule="auto"/>
      </w:pPr>
      <w:r>
        <w:rPr>
          <w:rFonts w:ascii="Arial" w:hAnsi="Arial"/>
          <w:color w:val="334155"/>
          <w:sz w:val="19"/>
        </w:rPr>
        <w:t>• Manifest Location: public/manifest.json configured with standalone display and #08090D theme.</w:t>
      </w:r>
    </w:p>
    <w:p>
      <w:pPr>
        <w:spacing w:before="0" w:after="70" w:line="276" w:lineRule="auto"/>
      </w:pPr>
      <w:r>
        <w:rPr>
          <w:rFonts w:ascii="Arial" w:hAnsi="Arial"/>
          <w:color w:val="334155"/>
          <w:sz w:val="19"/>
        </w:rPr>
        <w:t>• Dynamic App Icons (Subject to Change): Once the final problem statement is selected, 192px and 512px icons will be placed into public/icons/.</w:t>
      </w:r>
    </w:p>
    <w:p>
      <w:pPr>
        <w:spacing w:before="0" w:after="70" w:line="276" w:lineRule="auto"/>
      </w:pPr>
      <w:r>
        <w:rPr>
          <w:rFonts w:ascii="Arial" w:hAnsi="Arial"/>
          <w:color w:val="334155"/>
          <w:sz w:val="19"/>
        </w:rPr>
        <w:t>• Service Worker: Cache-first for UI components; Network-first for dynamic API data with offline fallback.</w:t>
      </w:r>
    </w:p>
    <w:p>
      <w:pPr>
        <w:pStyle w:val="Heading1"/>
        <w:keepNext/>
        <w:spacing w:before="320" w:after="80"/>
      </w:pPr>
      <w:r>
        <w:rPr>
          <w:rFonts w:ascii="Arial" w:hAnsi="Arial"/>
          <w:b/>
          <w:color w:val="0F172A"/>
          <w:sz w:val="32"/>
        </w:rPr>
        <w:t>9. Vercel Zero-Fail Deployment Protocol</w:t>
      </w:r>
    </w:p>
    <w:p>
      <w:pPr>
        <w:spacing w:before="0" w:after="70" w:line="276" w:lineRule="auto"/>
      </w:pPr>
      <w:r>
        <w:rPr>
          <w:rFonts w:ascii="Arial" w:hAnsi="Arial"/>
          <w:color w:val="334155"/>
          <w:sz w:val="19"/>
        </w:rPr>
        <w:t>The repository is configured for automated Vercel CI/CD deployment:</w:t>
      </w:r>
    </w:p>
    <w:p>
      <w:pPr>
        <w:spacing w:before="0" w:after="70" w:line="276" w:lineRule="auto"/>
      </w:pPr>
      <w:r>
        <w:rPr>
          <w:rFonts w:ascii="Arial" w:hAnsi="Arial"/>
          <w:color w:val="334155"/>
          <w:sz w:val="19"/>
        </w:rPr>
        <w:t>• Build Verification: npm run build has been pre-validated and generates zero compile or TypeScript errors.</w:t>
      </w:r>
    </w:p>
    <w:p>
      <w:pPr>
        <w:spacing w:before="0" w:after="70" w:line="276" w:lineRule="auto"/>
      </w:pPr>
      <w:r>
        <w:rPr>
          <w:rFonts w:ascii="Arial" w:hAnsi="Arial"/>
          <w:color w:val="334155"/>
          <w:sz w:val="19"/>
        </w:rPr>
        <w:t>• Environment Variables: Set DATABASE_URL, NEXT_PUBLIC_SUPABASE_URL, NEXT_PUBLIC_CLERK_PUBLISHABLE_KEY, CLERK_SECRET_KEY, UPSTASH_REDIS_REST_URL, and UPSTASH_REDIS_REST_TOKEN in Vercel project settings.</w:t>
      </w:r>
    </w:p>
    <w:p>
      <w:pPr>
        <w:spacing w:before="0" w:after="70" w:line="276" w:lineRule="auto"/>
      </w:pPr>
      <w:r>
        <w:rPr>
          <w:rFonts w:ascii="Arial" w:hAnsi="Arial"/>
          <w:color w:val="334155"/>
          <w:sz w:val="19"/>
        </w:rPr>
        <w:t>• Push-to-Deploy: Every git commit pushed to branch main triggers instant production builds on Vercel.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D97706"/>
        <w:sz w:val="16"/>
      </w:rPr>
      <w:t>⚠️ EVERYTHING IS SUBJECT TO CHANGE ACCORDING TO THE RELEASED PROBLEM STATEMENT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94A3B8"/>
        <w:sz w:val="16"/>
      </w:rPr>
      <w:t>ORCATHON 2026 — MASTER ARCHITECTURAL &amp; AGENT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