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F172A"/>
          <w:sz w:val="48"/>
        </w:rPr>
        <w:t>VibeLens: Comprehensive Engineering Blueprint</w:t>
      </w:r>
    </w:p>
    <w:p>
      <w:pPr>
        <w:spacing w:before="0" w:after="240"/>
      </w:pPr>
      <w:r>
        <w:rPr>
          <w:b/>
          <w:color w:val="7C3AED"/>
          <w:sz w:val="25"/>
        </w:rPr>
        <w:t>Autonomous 3D Codebase X-Ray, ReachableSec SAST &amp; Dual MCP Prevention Engine</w:t>
      </w:r>
    </w:p>
    <w:p>
      <w:pPr>
        <w:spacing w:before="0" w:after="320"/>
      </w:pPr>
      <w:r>
        <w:rPr>
          <w:i/>
          <w:color w:val="64748B"/>
          <w:sz w:val="19"/>
        </w:rPr>
        <w:t>Stack: Next.js 15, React 19, TypeScript, Drizzle ORM, Supabase, Clerk, Upstash Redis &amp; Three.js</w:t>
        <w:br/>
        <w:t>Architecture: Local-First Analysis with Edge-Cached Telemetry | Target Competition: Prasunex Innovathon 2026 (Unstop)</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6" w:space="0" w:color="7C3AED"/>
              <w:bottom w:val="none"/>
              <w:right w:val="none"/>
            </w:tcBorders>
            <w:tcMar>
              <w:top w:w="130" w:type="dxa"/>
              <w:bottom w:w="130" w:type="dxa"/>
              <w:left w:w="170" w:type="dxa"/>
              <w:right w:w="170" w:type="dxa"/>
            </w:tcMar>
          </w:tcPr>
          <w:p>
            <w:pPr>
              <w:spacing w:before="0" w:after="40"/>
            </w:pPr>
            <w:r>
              <w:rPr>
                <w:b/>
                <w:color w:val="2563EB"/>
                <w:sz w:val="17"/>
              </w:rPr>
              <w:t>[THE ELEVATOR HOOK]</w:t>
              <w:br/>
            </w:r>
            <w:r>
              <w:rPr>
                <w:i/>
                <w:color w:val="0F172A"/>
                <w:sz w:val="21"/>
              </w:rPr>
              <w:t>"Snyk tells you what is vulnerable. VibeLens tells you what is actually reachable, and uses native MCP tools to stop your AI agent from creating the mess in the first place."</w:t>
            </w:r>
          </w:p>
        </w:tc>
      </w:tr>
    </w:tbl>
    <w:p>
      <w:pPr>
        <w:spacing w:after="80"/>
      </w:pPr>
    </w:p>
    <w:p>
      <w:pPr>
        <w:keepNext/>
        <w:spacing w:before="200" w:after="80"/>
        <w:jc w:val="center"/>
      </w:pPr>
    </w:p>
    <w:p>
      <w:r>
        <w:drawing>
          <wp:inline xmlns:a="http://schemas.openxmlformats.org/drawingml/2006/main" xmlns:pic="http://schemas.openxmlformats.org/drawingml/2006/picture">
            <wp:extent cx="6035040" cy="3161211"/>
            <wp:docPr id="1" name="Picture 1"/>
            <wp:cNvGraphicFramePr>
              <a:graphicFrameLocks noChangeAspect="1"/>
            </wp:cNvGraphicFramePr>
            <a:graphic>
              <a:graphicData uri="http://schemas.openxmlformats.org/drawingml/2006/picture">
                <pic:pic>
                  <pic:nvPicPr>
                    <pic:cNvPr id="0" name="graphic1_technical_dataflow.png"/>
                    <pic:cNvPicPr/>
                  </pic:nvPicPr>
                  <pic:blipFill>
                    <a:blip r:embed="rId9"/>
                    <a:stretch>
                      <a:fillRect/>
                    </a:stretch>
                  </pic:blipFill>
                  <pic:spPr>
                    <a:xfrm>
                      <a:off x="0" y="0"/>
                      <a:ext cx="6035040" cy="3161211"/>
                    </a:xfrm>
                    <a:prstGeom prst="rect"/>
                  </pic:spPr>
                </pic:pic>
              </a:graphicData>
            </a:graphic>
          </wp:inline>
        </w:drawing>
      </w:r>
    </w:p>
    <w:p>
      <w:pPr>
        <w:spacing w:before="40" w:after="200"/>
        <w:jc w:val="center"/>
      </w:pPr>
      <w:r>
        <w:rPr>
          <w:i/>
          <w:color w:val="64748B"/>
          <w:sz w:val="17"/>
        </w:rPr>
        <w:t>Figure: VibeLens Local-First Technical Data-Flow Architecture (Pure JS/TS/React Ecosystem)</w:t>
      </w:r>
    </w:p>
    <w:p>
      <w:pPr>
        <w:keepNext/>
        <w:spacing w:before="360" w:after="120"/>
      </w:pPr>
      <w:r>
        <w:rPr>
          <w:rFonts w:ascii="Arial" w:hAnsi="Arial"/>
          <w:b/>
          <w:color w:val="0F172A"/>
          <w:sz w:val="30"/>
        </w:rPr>
        <w:t>1. Executive Summary &amp; Design System Clarification</w:t>
      </w:r>
    </w:p>
    <w:p>
      <w:r>
        <w:t>VibeLens is an autonomous codebase hygiene, vulnerability reachability, and architecture visualization system built specifically for the generative AI coding era. Operating 100% locally on developer machines without uploading source code to third-party clouds, it solves the catastrophic code bloat, context poisoning, and CVE alert fatigue introduced by rapid vibe coding in Cursor, Claude Code, v0, and Bolt.</w:t>
      </w:r>
    </w:p>
    <w:p>
      <w:pPr>
        <w:keepNext/>
        <w:spacing w:before="240" w:after="80"/>
      </w:pPr>
      <w:r>
        <w:rPr>
          <w:rFonts w:ascii="Arial" w:hAnsi="Arial"/>
          <w:b/>
          <w:color w:val="0D9488"/>
          <w:sz w:val="24"/>
        </w:rPr>
        <w:t>1.1 Clarification: The 'CrashLens' Design System</w:t>
      </w:r>
    </w:p>
    <w:p>
      <w:r>
        <w:t>Throughout this blueprint, references to 'CrashLens' refer strictly to our internal, open-source high-craft telemetry design framework (as showcased in our prior production deployment at orcathon-2026.vercel.app). CrashLens embodies an industrial-grade, dark-mode CAD radar aesthetic: pitch-black obsidian backgrounds (#09090b), CAD blueprint crosshairs, monospace telemetry chips ([STATUS: ACTIVE // 12ms]), and tactile glassmorphic borders (border-white/10). VibeLens uses this design system for its own interface and provides an automated compiler to refactor generic AI frontends into this same production aesthetic.</w:t>
      </w:r>
    </w:p>
    <w:p>
      <w:pPr>
        <w:keepNext/>
        <w:spacing w:before="360" w:after="120"/>
      </w:pPr>
      <w:r>
        <w:rPr>
          <w:rFonts w:ascii="Arial" w:hAnsi="Arial"/>
          <w:b/>
          <w:color w:val="0F172A"/>
          <w:sz w:val="30"/>
        </w:rPr>
        <w:t>2. The Problem Statement (In Plain English)</w:t>
      </w:r>
    </w:p>
    <w:p>
      <w:r>
        <w:t>Developers are generating entire software systems via natural language prompts. However, within 24 to 48 hours of rapid prompting, codebases experience five distinct systemic breakdowns:</w:t>
      </w:r>
    </w:p>
    <w:p>
      <w:pPr>
        <w:pStyle w:val="ListBullet"/>
        <w:spacing w:before="40" w:after="40"/>
      </w:pPr>
      <w:r>
        <w:rPr>
          <w:b/>
          <w:color w:val="0F172A"/>
        </w:rPr>
        <w:t xml:space="preserve">Problem 1: Slop &amp; Phantom Duplication: </w:t>
      </w:r>
      <w:r>
        <w:rPr>
          <w:color w:val="1E293B"/>
        </w:rPr>
        <w:t>Because the AI lacks persistent memory of previous sessions, it constantly hallucinates duplicate utility functions across folders (e.g. four conflicting date/string parsers), leaves dead components, and abandons unused npm packages.</w:t>
      </w:r>
    </w:p>
    <w:p>
      <w:pPr>
        <w:pStyle w:val="ListBullet"/>
        <w:spacing w:before="40" w:after="40"/>
      </w:pPr>
      <w:r>
        <w:rPr>
          <w:b/>
          <w:color w:val="0F172A"/>
        </w:rPr>
        <w:t xml:space="preserve">Problem 2: Context Window Poisoning &amp; Token Burn: </w:t>
      </w:r>
      <w:r>
        <w:rPr>
          <w:color w:val="1E293B"/>
        </w:rPr>
        <w:t>Every Cursor or Claude prompt requires passing project files into the model's context window. Bloated duplicate code and dead files increase prompt token consumption by 35% to 50%, multiplying API costs and triggering model hallucinations.</w:t>
      </w:r>
    </w:p>
    <w:p>
      <w:pPr>
        <w:pStyle w:val="ListBullet"/>
        <w:spacing w:before="40" w:after="40"/>
      </w:pPr>
      <w:r>
        <w:rPr>
          <w:b/>
          <w:color w:val="0F172A"/>
        </w:rPr>
        <w:t xml:space="preserve">Problem 3: CVE Alert Fatigue &amp; False Alarms: </w:t>
      </w:r>
      <w:r>
        <w:rPr>
          <w:color w:val="1E293B"/>
        </w:rPr>
        <w:t>Traditional scanners (Dependabot, Snyk, npm audit) flood developer inboxes with dozens of critical CVE alerts. In over 80% of cases, the vulnerability is in dead, uncalled code inside the package. Developers suffer alert fatigue and end up ignoring real threats.</w:t>
      </w:r>
    </w:p>
    <w:p>
      <w:pPr>
        <w:pStyle w:val="ListBullet"/>
        <w:spacing w:before="40" w:after="40"/>
      </w:pPr>
      <w:r>
        <w:rPr>
          <w:b/>
          <w:color w:val="0F172A"/>
        </w:rPr>
        <w:t xml:space="preserve">Problem 4: Generic 'AI Slop' Frontends: </w:t>
      </w:r>
      <w:r>
        <w:rPr>
          <w:color w:val="1E293B"/>
        </w:rPr>
        <w:t>Every frontend generated by AI looks identical: flat white cards, pastel purple gradients, and chaotic div-soup with 45 Tailwind utility classes per element.</w:t>
      </w:r>
    </w:p>
    <w:p>
      <w:pPr>
        <w:pStyle w:val="ListBullet"/>
        <w:spacing w:before="40" w:after="40"/>
      </w:pPr>
      <w:r>
        <w:rPr>
          <w:b/>
          <w:color w:val="0F172A"/>
        </w:rPr>
        <w:t xml:space="preserve">Problem 5: The 'Black-Box Terror': </w:t>
      </w:r>
      <w:r>
        <w:rPr>
          <w:color w:val="1E293B"/>
        </w:rPr>
        <w:t>Because the developer did not write the 80 sprawling files, they cannot visualize what depends on what. Teams are terrified to delete or refactor anything because they have zero visibility into what will break.</w:t>
      </w:r>
    </w:p>
    <w:p>
      <w:pPr>
        <w:keepNext/>
        <w:spacing w:before="360" w:after="120"/>
      </w:pPr>
      <w:r>
        <w:rPr>
          <w:rFonts w:ascii="Arial" w:hAnsi="Arial"/>
          <w:b/>
          <w:color w:val="0F172A"/>
          <w:sz w:val="30"/>
        </w:rPr>
        <w:t>3. Comprehensive Problem-to-Feature Map</w:t>
      </w:r>
    </w:p>
    <w:p>
      <w:r>
        <w:t>Every single problem identified above is directly addressed by a dedicated, production-grade engine within VibeLens:</w:t>
      </w:r>
    </w:p>
    <w:tbl>
      <w:tblPr>
        <w:tblW w:type="auto" w:w="0"/>
        <w:jc w:val="center"/>
        <w:tblLook w:firstColumn="1" w:firstRow="1" w:lastColumn="0" w:lastRow="0" w:noHBand="0" w:noVBand="1" w:val="04A0"/>
      </w:tblPr>
      <w:tblGrid>
        <w:gridCol w:w="3264"/>
        <w:gridCol w:w="3264"/>
        <w:gridCol w:w="3264"/>
      </w:tblGrid>
      <w:tr>
        <w:tc>
          <w:tcPr>
            <w:tcW w:type="dxa" w:w="3264"/>
            <w:shd w:fill="0F172A"/>
            <w:tcMar>
              <w:top w:w="100" w:type="dxa"/>
              <w:bottom w:w="100" w:type="dxa"/>
              <w:left w:w="110" w:type="dxa"/>
              <w:right w:w="110" w:type="dxa"/>
            </w:tcMar>
          </w:tcPr>
          <w:p>
            <w:r>
              <w:rPr>
                <w:b/>
                <w:color w:val="FFFFFF"/>
                <w:sz w:val="17"/>
              </w:rPr>
              <w:t>Identified Problem</w:t>
            </w:r>
          </w:p>
        </w:tc>
        <w:tc>
          <w:tcPr>
            <w:tcW w:type="dxa" w:w="3264"/>
            <w:shd w:fill="0F172A"/>
            <w:tcMar>
              <w:top w:w="100" w:type="dxa"/>
              <w:bottom w:w="100" w:type="dxa"/>
              <w:left w:w="110" w:type="dxa"/>
              <w:right w:w="110" w:type="dxa"/>
            </w:tcMar>
          </w:tcPr>
          <w:p>
            <w:r>
              <w:rPr>
                <w:b/>
                <w:color w:val="FFFFFF"/>
                <w:sz w:val="17"/>
              </w:rPr>
              <w:t>Dedicated VibeLens Feature</w:t>
            </w:r>
          </w:p>
        </w:tc>
        <w:tc>
          <w:tcPr>
            <w:tcW w:type="dxa" w:w="3264"/>
            <w:shd w:fill="0F172A"/>
            <w:tcMar>
              <w:top w:w="100" w:type="dxa"/>
              <w:bottom w:w="100" w:type="dxa"/>
              <w:left w:w="110" w:type="dxa"/>
              <w:right w:w="110" w:type="dxa"/>
            </w:tcMar>
          </w:tcPr>
          <w:p>
            <w:r>
              <w:rPr>
                <w:b/>
                <w:color w:val="FFFFFF"/>
                <w:sz w:val="17"/>
              </w:rPr>
              <w:t>Concrete Technical Solution</w:t>
            </w:r>
          </w:p>
        </w:tc>
      </w:tr>
      <w:tr>
        <w:tc>
          <w:tcPr>
            <w:tcW w:type="dxa" w:w="2160"/>
            <w:shd w:fill="F8FAFC"/>
            <w:tcMar>
              <w:top w:w="80" w:type="dxa"/>
              <w:bottom w:w="80" w:type="dxa"/>
              <w:left w:w="90" w:type="dxa"/>
              <w:right w:w="90" w:type="dxa"/>
            </w:tcMar>
          </w:tcPr>
          <w:p>
            <w:r>
              <w:rPr>
                <w:b/>
                <w:color w:val="2563EB"/>
                <w:sz w:val="16"/>
              </w:rPr>
              <w:t>Problem 1:</w:t>
              <w:br/>
              <w:t>Phantom Duplication</w:t>
            </w:r>
          </w:p>
        </w:tc>
        <w:tc>
          <w:tcPr>
            <w:tcW w:type="dxa" w:w="2592"/>
            <w:shd w:fill="F8FAFC"/>
            <w:tcMar>
              <w:top w:w="80" w:type="dxa"/>
              <w:bottom w:w="80" w:type="dxa"/>
              <w:left w:w="90" w:type="dxa"/>
              <w:right w:w="90" w:type="dxa"/>
            </w:tcMar>
          </w:tcPr>
          <w:p>
            <w:r>
              <w:rPr>
                <w:b/>
                <w:color w:val="2563EB"/>
                <w:sz w:val="16"/>
              </w:rPr>
              <w:t>AST De-Duplicator &amp;</w:t>
              <w:br/>
              <w:t>MCP Server Tool</w:t>
            </w:r>
          </w:p>
        </w:tc>
        <w:tc>
          <w:tcPr>
            <w:tcW w:type="dxa" w:w="5040"/>
            <w:shd w:fill="F8FAFC"/>
            <w:tcMar>
              <w:top w:w="80" w:type="dxa"/>
              <w:bottom w:w="80" w:type="dxa"/>
              <w:left w:w="90" w:type="dxa"/>
              <w:right w:w="90" w:type="dxa"/>
            </w:tcMar>
          </w:tcPr>
          <w:p>
            <w:r>
              <w:rPr>
                <w:color w:val="1E293B"/>
                <w:sz w:val="16"/>
              </w:rPr>
              <w:t>Babel AST function fingerprinting + Cursor MCP tool (find_existing_utility) preventing duplicate code before writing.</w:t>
            </w:r>
          </w:p>
        </w:tc>
      </w:tr>
      <w:tr>
        <w:tc>
          <w:tcPr>
            <w:tcW w:type="dxa" w:w="2160"/>
            <w:shd w:fill="FFFFFF"/>
            <w:tcMar>
              <w:top w:w="80" w:type="dxa"/>
              <w:bottom w:w="80" w:type="dxa"/>
              <w:left w:w="90" w:type="dxa"/>
              <w:right w:w="90" w:type="dxa"/>
            </w:tcMar>
          </w:tcPr>
          <w:p>
            <w:r>
              <w:rPr>
                <w:b/>
                <w:color w:val="2563EB"/>
                <w:sz w:val="16"/>
              </w:rPr>
              <w:t>Problem 2:</w:t>
              <w:br/>
              <w:t>Context Token Burn</w:t>
            </w:r>
          </w:p>
        </w:tc>
        <w:tc>
          <w:tcPr>
            <w:tcW w:type="dxa" w:w="2592"/>
            <w:shd w:fill="FFFFFF"/>
            <w:tcMar>
              <w:top w:w="80" w:type="dxa"/>
              <w:bottom w:w="80" w:type="dxa"/>
              <w:left w:w="90" w:type="dxa"/>
              <w:right w:w="90" w:type="dxa"/>
            </w:tcMar>
          </w:tcPr>
          <w:p>
            <w:r>
              <w:rPr>
                <w:b/>
                <w:color w:val="2563EB"/>
                <w:sz w:val="16"/>
              </w:rPr>
              <w:t>Context Shrinker &amp;</w:t>
              <w:br/>
              <w:t>Token Optimizer</w:t>
            </w:r>
          </w:p>
        </w:tc>
        <w:tc>
          <w:tcPr>
            <w:tcW w:type="dxa" w:w="5040"/>
            <w:shd w:fill="FFFFFF"/>
            <w:tcMar>
              <w:top w:w="80" w:type="dxa"/>
              <w:bottom w:w="80" w:type="dxa"/>
              <w:left w:w="90" w:type="dxa"/>
              <w:right w:w="90" w:type="dxa"/>
            </w:tcMar>
          </w:tcPr>
          <w:p>
            <w:r>
              <w:rPr>
                <w:color w:val="1E293B"/>
                <w:sz w:val="16"/>
              </w:rPr>
              <w:t>Compiles lean .cursorrules &amp; llms.txt, measured with GPT-4 tokenizer for a verified 39.6% token reduction.</w:t>
            </w:r>
          </w:p>
        </w:tc>
      </w:tr>
      <w:tr>
        <w:tc>
          <w:tcPr>
            <w:tcW w:type="dxa" w:w="2160"/>
            <w:shd w:fill="F8FAFC"/>
            <w:tcMar>
              <w:top w:w="80" w:type="dxa"/>
              <w:bottom w:w="80" w:type="dxa"/>
              <w:left w:w="90" w:type="dxa"/>
              <w:right w:w="90" w:type="dxa"/>
            </w:tcMar>
          </w:tcPr>
          <w:p>
            <w:r>
              <w:rPr>
                <w:b/>
                <w:color w:val="2563EB"/>
                <w:sz w:val="16"/>
              </w:rPr>
              <w:t>Problem 3:</w:t>
              <w:br/>
              <w:t>CVE Alert Fatigue</w:t>
            </w:r>
          </w:p>
        </w:tc>
        <w:tc>
          <w:tcPr>
            <w:tcW w:type="dxa" w:w="2592"/>
            <w:shd w:fill="F8FAFC"/>
            <w:tcMar>
              <w:top w:w="80" w:type="dxa"/>
              <w:bottom w:w="80" w:type="dxa"/>
              <w:left w:w="90" w:type="dxa"/>
              <w:right w:w="90" w:type="dxa"/>
            </w:tcMar>
          </w:tcPr>
          <w:p>
            <w:r>
              <w:rPr>
                <w:b/>
                <w:color w:val="2563EB"/>
                <w:sz w:val="16"/>
              </w:rPr>
              <w:t>ReachableSec 4-Tier</w:t>
              <w:br/>
              <w:t>Call-Graph Engine</w:t>
            </w:r>
          </w:p>
        </w:tc>
        <w:tc>
          <w:tcPr>
            <w:tcW w:type="dxa" w:w="5040"/>
            <w:shd w:fill="F8FAFC"/>
            <w:tcMar>
              <w:top w:w="80" w:type="dxa"/>
              <w:bottom w:w="80" w:type="dxa"/>
              <w:left w:w="90" w:type="dxa"/>
              <w:right w:w="90" w:type="dxa"/>
            </w:tcMar>
          </w:tcPr>
          <w:p>
            <w:r>
              <w:rPr>
                <w:color w:val="1E293B"/>
                <w:sz w:val="16"/>
              </w:rPr>
              <w:t>Traces AST execution paths from API routes to package functions. Silences 88% of uncalled phantom CVEs into green shields.</w:t>
            </w:r>
          </w:p>
        </w:tc>
      </w:tr>
      <w:tr>
        <w:tc>
          <w:tcPr>
            <w:tcW w:type="dxa" w:w="2160"/>
            <w:shd w:fill="FFFFFF"/>
            <w:tcMar>
              <w:top w:w="80" w:type="dxa"/>
              <w:bottom w:w="80" w:type="dxa"/>
              <w:left w:w="90" w:type="dxa"/>
              <w:right w:w="90" w:type="dxa"/>
            </w:tcMar>
          </w:tcPr>
          <w:p>
            <w:r>
              <w:rPr>
                <w:b/>
                <w:color w:val="2563EB"/>
                <w:sz w:val="16"/>
              </w:rPr>
              <w:t>Problem 4:</w:t>
              <w:br/>
              <w:t>Generic AI UI Slop</w:t>
            </w:r>
          </w:p>
        </w:tc>
        <w:tc>
          <w:tcPr>
            <w:tcW w:type="dxa" w:w="2592"/>
            <w:shd w:fill="FFFFFF"/>
            <w:tcMar>
              <w:top w:w="80" w:type="dxa"/>
              <w:bottom w:w="80" w:type="dxa"/>
              <w:left w:w="90" w:type="dxa"/>
              <w:right w:w="90" w:type="dxa"/>
            </w:tcMar>
          </w:tcPr>
          <w:p>
            <w:r>
              <w:rPr>
                <w:b/>
                <w:color w:val="2563EB"/>
                <w:sz w:val="16"/>
              </w:rPr>
              <w:t>Frontend De-Slop Engine</w:t>
              <w:br/>
              <w:t>(CrashLens Reskin)</w:t>
            </w:r>
          </w:p>
        </w:tc>
        <w:tc>
          <w:tcPr>
            <w:tcW w:type="dxa" w:w="5040"/>
            <w:shd w:fill="FFFFFF"/>
            <w:tcMar>
              <w:top w:w="80" w:type="dxa"/>
              <w:bottom w:w="80" w:type="dxa"/>
              <w:left w:w="90" w:type="dxa"/>
              <w:right w:w="90" w:type="dxa"/>
            </w:tcMar>
          </w:tcPr>
          <w:p>
            <w:r>
              <w:rPr>
                <w:color w:val="1E293B"/>
                <w:sz w:val="16"/>
              </w:rPr>
              <w:t>Refactors messy Tailwind div-soups into clean shadcn/Radix components with CAD blueprint dark mode and split slider.</w:t>
            </w:r>
          </w:p>
        </w:tc>
      </w:tr>
      <w:tr>
        <w:tc>
          <w:tcPr>
            <w:tcW w:type="dxa" w:w="2160"/>
            <w:shd w:fill="F8FAFC"/>
            <w:tcMar>
              <w:top w:w="80" w:type="dxa"/>
              <w:bottom w:w="80" w:type="dxa"/>
              <w:left w:w="90" w:type="dxa"/>
              <w:right w:w="90" w:type="dxa"/>
            </w:tcMar>
          </w:tcPr>
          <w:p>
            <w:r>
              <w:rPr>
                <w:b/>
                <w:color w:val="2563EB"/>
                <w:sz w:val="16"/>
              </w:rPr>
              <w:t>Problem 5:</w:t>
              <w:br/>
              <w:t>The Black-Box Terror</w:t>
            </w:r>
          </w:p>
        </w:tc>
        <w:tc>
          <w:tcPr>
            <w:tcW w:type="dxa" w:w="2592"/>
            <w:shd w:fill="F8FAFC"/>
            <w:tcMar>
              <w:top w:w="80" w:type="dxa"/>
              <w:bottom w:w="80" w:type="dxa"/>
              <w:left w:w="90" w:type="dxa"/>
              <w:right w:w="90" w:type="dxa"/>
            </w:tcMar>
          </w:tcPr>
          <w:p>
            <w:r>
              <w:rPr>
                <w:b/>
                <w:color w:val="2563EB"/>
                <w:sz w:val="16"/>
              </w:rPr>
              <w:t>Interactive 3D Galaxy &amp;</w:t>
              <w:br/>
              <w:t>Blast Radius Inspector</w:t>
            </w:r>
          </w:p>
        </w:tc>
        <w:tc>
          <w:tcPr>
            <w:tcW w:type="dxa" w:w="5040"/>
            <w:shd w:fill="F8FAFC"/>
            <w:tcMar>
              <w:top w:w="80" w:type="dxa"/>
              <w:bottom w:w="80" w:type="dxa"/>
              <w:left w:w="90" w:type="dxa"/>
              <w:right w:w="90" w:type="dxa"/>
            </w:tcMar>
          </w:tcPr>
          <w:p>
            <w:r>
              <w:rPr>
                <w:color w:val="1E293B"/>
                <w:sz w:val="16"/>
              </w:rPr>
              <w:t>Click any node in the 3D WebGL mesh to instantly illuminate all upstream breaking callers and downstream dependencies.</w:t>
            </w:r>
          </w:p>
        </w:tc>
      </w:tr>
    </w:tbl>
    <w:p>
      <w:pPr>
        <w:spacing w:after="200"/>
      </w:pPr>
    </w:p>
    <w:p>
      <w:pPr>
        <w:keepNext/>
        <w:spacing w:before="360" w:after="120"/>
      </w:pPr>
      <w:r>
        <w:rPr>
          <w:rFonts w:ascii="Arial" w:hAnsi="Arial"/>
          <w:b/>
          <w:color w:val="0F172A"/>
          <w:sz w:val="30"/>
        </w:rPr>
        <w:t>4. Technical Architecture: Modern TS/React Stack</w:t>
      </w:r>
    </w:p>
    <w:p>
      <w:r>
        <w:t>VibeLens is engineered exclusively in the modern TypeScript and React ecosystem, leveraging edge caching, serverless relational data, frictionless authentication, and WebGL rendering:</w:t>
      </w:r>
    </w:p>
    <w:p>
      <w:pPr>
        <w:pStyle w:val="ListBullet"/>
        <w:spacing w:before="40" w:after="40"/>
      </w:pPr>
      <w:r>
        <w:rPr>
          <w:b/>
          <w:color w:val="0F172A"/>
        </w:rPr>
        <w:t xml:space="preserve">Frontend &amp; 3D Spatial Canvas: </w:t>
      </w:r>
      <w:r>
        <w:rPr>
          <w:color w:val="1E293B"/>
        </w:rPr>
        <w:t>Next.js 15 (App Router), React 19, and TypeScript. 3D WebGL galaxy rendered via Three.js with @react-three/fiber and @react-three/drei. Styled using Tailwind CSS v4, shadcn/ui (Radix React primitives), and CrashLens industrial telemetry tokens.</w:t>
      </w:r>
    </w:p>
    <w:p>
      <w:pPr>
        <w:pStyle w:val="ListBullet"/>
        <w:spacing w:before="40" w:after="40"/>
      </w:pPr>
      <w:r>
        <w:rPr>
          <w:b/>
          <w:color w:val="0F172A"/>
        </w:rPr>
        <w:t xml:space="preserve">Authentication &amp; Dev Keys (Clerk): </w:t>
      </w:r>
      <w:r>
        <w:rPr>
          <w:color w:val="1E293B"/>
        </w:rPr>
        <w:t>Clerk handles developer sign-in, GitHub OAuth identity verification, organization workspace boundaries, and issuing secure API keys/tokens for the local CLI and Cursor MCP server.</w:t>
      </w:r>
    </w:p>
    <w:p>
      <w:pPr>
        <w:pStyle w:val="ListBullet"/>
        <w:spacing w:before="40" w:after="40"/>
      </w:pPr>
      <w:r>
        <w:rPr>
          <w:b/>
          <w:color w:val="0F172A"/>
        </w:rPr>
        <w:t xml:space="preserve">Database &amp; Persistence (Supabase PostgreSQL): </w:t>
      </w:r>
      <w:r>
        <w:rPr>
          <w:color w:val="1E293B"/>
        </w:rPr>
        <w:t>Supabase provides the managed PostgreSQL relational database, storing audited repository metadata, CVE reachability scan histories, team vulnerability registries, and verifiable token-saving logs.</w:t>
      </w:r>
    </w:p>
    <w:p>
      <w:pPr>
        <w:pStyle w:val="ListBullet"/>
        <w:spacing w:before="40" w:after="40"/>
      </w:pPr>
      <w:r>
        <w:rPr>
          <w:b/>
          <w:color w:val="0F172A"/>
        </w:rPr>
        <w:t xml:space="preserve">Type-Safe ORM (Drizzle ORM): </w:t>
      </w:r>
      <w:r>
        <w:rPr>
          <w:color w:val="1E293B"/>
        </w:rPr>
        <w:t>Drizzle ORM defines TypeScript schemas with zero runtime overhead, executing type-safe queries against Supabase PostgreSQL for repository audits, AST scan records, and vulnerability state machines.</w:t>
      </w:r>
    </w:p>
    <w:p>
      <w:pPr>
        <w:pStyle w:val="ListBullet"/>
        <w:spacing w:before="40" w:after="40"/>
      </w:pPr>
      <w:r>
        <w:rPr>
          <w:b/>
          <w:color w:val="0F172A"/>
        </w:rPr>
        <w:t xml:space="preserve">Edge Cache &amp; High-Speed Telemetry (Upstash Redis): </w:t>
      </w:r>
      <w:r>
        <w:rPr>
          <w:color w:val="1E293B"/>
        </w:rPr>
        <w:t>Upstash Redis acts as the serverless edge memory tier: caching parsed OSV/NVD CVE database lookups (sub-5ms retrieval), storing 1Hz streaming telemetry vector clocks for the 3D topology radar, and rate-limiting incoming MCP requests.</w:t>
      </w:r>
    </w:p>
    <w:p>
      <w:pPr>
        <w:pStyle w:val="ListBullet"/>
        <w:spacing w:before="40" w:after="40"/>
      </w:pPr>
      <w:r>
        <w:rPr>
          <w:b/>
          <w:color w:val="0F172A"/>
        </w:rPr>
        <w:t xml:space="preserve">AST &amp; Static Analysis Engine: </w:t>
      </w:r>
      <w:r>
        <w:rPr>
          <w:color w:val="1E293B"/>
        </w:rPr>
        <w:t>@babel/parser and @babel/traverse for zero-overhead JavaScript and TypeScript Abstract Syntax Tree decomposition, coupled with es-module-lexer for rapid import/export resolution.</w:t>
      </w:r>
    </w:p>
    <w:p>
      <w:pPr>
        <w:pStyle w:val="ListBullet"/>
        <w:spacing w:before="40" w:after="40"/>
      </w:pPr>
      <w:r>
        <w:rPr>
          <w:b/>
          <w:color w:val="0F172A"/>
        </w:rPr>
        <w:t xml:space="preserve">Model Context Protocol (MCP) Server: </w:t>
      </w:r>
      <w:r>
        <w:rPr>
          <w:color w:val="1E293B"/>
        </w:rPr>
        <w:t>Official @modelcontextprotocol/sdk for Node.js over stdio and JSON-RPC, enabling Cursor and Claude Code to invoke native pre-prompt prevention tools.</w:t>
      </w:r>
    </w:p>
    <w:p>
      <w:pPr>
        <w:pStyle w:val="ListBullet"/>
        <w:spacing w:before="40" w:after="40"/>
      </w:pPr>
      <w:r>
        <w:rPr>
          <w:b/>
          <w:color w:val="0F172A"/>
        </w:rPr>
        <w:t xml:space="preserve">Local CLI Sentinel &amp; Test Harness Gate: </w:t>
      </w:r>
      <w:r>
        <w:rPr>
          <w:color w:val="1E293B"/>
        </w:rPr>
        <w:t>Node.js daemon built with commander and chokidar for 1Hz file watching. Automated child-process execution runs local test suites (npm test / vitest) before calling @octokit/rest for GitHub PR generation.</w:t>
      </w:r>
    </w:p>
    <w:p>
      <w:pPr>
        <w:keepNext/>
        <w:spacing w:before="360" w:after="120"/>
      </w:pPr>
      <w:r>
        <w:rPr>
          <w:rFonts w:ascii="Arial" w:hAnsi="Arial"/>
          <w:b/>
          <w:color w:val="0F172A"/>
          <w:sz w:val="30"/>
        </w:rPr>
        <w:t>5. The ReachableSec 4-Tier Confidence Model</w:t>
      </w:r>
    </w:p>
    <w:p>
      <w:r>
        <w:t>In enterprise security, wrongly silencing an active vulnerability is catastrophic. Because static analysis cannot deterministically trace dynamic code evaluation (such as eval(), dynamic require(), or runtime reflection), ReachableSec introduces an honest, four-tier confidence classification:</w:t>
      </w:r>
    </w:p>
    <w:p>
      <w:pPr>
        <w:keepNext/>
        <w:spacing w:before="200" w:after="80"/>
        <w:jc w:val="center"/>
      </w:pPr>
    </w:p>
    <w:p>
      <w:r>
        <w:drawing>
          <wp:inline xmlns:a="http://schemas.openxmlformats.org/drawingml/2006/main" xmlns:pic="http://schemas.openxmlformats.org/drawingml/2006/picture">
            <wp:extent cx="6035040" cy="3049283"/>
            <wp:docPr id="2" name="Picture 2"/>
            <wp:cNvGraphicFramePr>
              <a:graphicFrameLocks noChangeAspect="1"/>
            </wp:cNvGraphicFramePr>
            <a:graphic>
              <a:graphicData uri="http://schemas.openxmlformats.org/drawingml/2006/picture">
                <pic:pic>
                  <pic:nvPicPr>
                    <pic:cNvPr id="0" name="graphic2_confidence_tiers.png"/>
                    <pic:cNvPicPr/>
                  </pic:nvPicPr>
                  <pic:blipFill>
                    <a:blip r:embed="rId10"/>
                    <a:stretch>
                      <a:fillRect/>
                    </a:stretch>
                  </pic:blipFill>
                  <pic:spPr>
                    <a:xfrm>
                      <a:off x="0" y="0"/>
                      <a:ext cx="6035040" cy="3049283"/>
                    </a:xfrm>
                    <a:prstGeom prst="rect"/>
                  </pic:spPr>
                </pic:pic>
              </a:graphicData>
            </a:graphic>
          </wp:inline>
        </w:drawing>
      </w:r>
    </w:p>
    <w:p>
      <w:pPr>
        <w:spacing w:before="40" w:after="200"/>
        <w:jc w:val="center"/>
      </w:pPr>
      <w:r>
        <w:rPr>
          <w:i/>
          <w:color w:val="64748B"/>
          <w:sz w:val="17"/>
        </w:rPr>
        <w:t>Figure: ReachableSec 4-Tier Confidence Model: Eliminating False Silencing Through Transparent Classification</w:t>
      </w:r>
    </w:p>
    <w:p>
      <w:pPr>
        <w:pStyle w:val="ListBullet"/>
        <w:spacing w:before="40" w:after="40"/>
      </w:pPr>
      <w:r>
        <w:rPr>
          <w:b/>
          <w:color w:val="0F172A"/>
        </w:rPr>
        <w:t xml:space="preserve">Tier 1: REACHABLE (Verified Attack Path): </w:t>
      </w:r>
      <w:r>
        <w:rPr>
          <w:color w:val="1E293B"/>
        </w:rPr>
        <w:t>100% verified static execution path from an exposed HTTP/API entry point down to the vulnerable package method. Highlighted in alarming neon red with automated patch PR.</w:t>
      </w:r>
    </w:p>
    <w:p>
      <w:pPr>
        <w:pStyle w:val="ListBullet"/>
        <w:spacing w:before="40" w:after="40"/>
      </w:pPr>
      <w:r>
        <w:rPr>
          <w:b/>
          <w:color w:val="0F172A"/>
        </w:rPr>
        <w:t xml:space="preserve">Tier 2: LIKELY (Indirect / Conditional Path): </w:t>
      </w:r>
      <w:r>
        <w:rPr>
          <w:color w:val="1E293B"/>
        </w:rPr>
        <w:t>Call path exists through internal event emitters, callbacks, or conditional branches. Marked in orange, alerting developers to review.</w:t>
      </w:r>
    </w:p>
    <w:p>
      <w:pPr>
        <w:pStyle w:val="ListBullet"/>
        <w:spacing w:before="40" w:after="40"/>
      </w:pPr>
      <w:r>
        <w:rPr>
          <w:b/>
          <w:color w:val="0F172A"/>
        </w:rPr>
        <w:t xml:space="preserve">Tier 3: UNKNOWN (Dynamic Reflection Boundary): </w:t>
      </w:r>
      <w:r>
        <w:rPr>
          <w:color w:val="1E293B"/>
        </w:rPr>
        <w:t>Dynamic require(variable), eval(), or reflection detected along the path. Statically unprovable. Honestly flagged as 'Unknown'—never silently dismissed.</w:t>
      </w:r>
    </w:p>
    <w:p>
      <w:pPr>
        <w:pStyle w:val="ListBullet"/>
        <w:spacing w:before="40" w:after="40"/>
      </w:pPr>
      <w:r>
        <w:rPr>
          <w:b/>
          <w:color w:val="0F172A"/>
        </w:rPr>
        <w:t xml:space="preserve">Tier 4: UNREACHABLE (Verified Dead Code): </w:t>
      </w:r>
      <w:r>
        <w:rPr>
          <w:color w:val="1E293B"/>
        </w:rPr>
        <w:t>Mathematical proof of zero execution path from any application entry point. Stamped as [SILENCED // DEAD CODE], eliminating 88% of alert noise.</w:t>
      </w:r>
    </w:p>
    <w:p>
      <w:pPr>
        <w:keepNext/>
        <w:spacing w:before="360" w:after="120"/>
      </w:pPr>
      <w:r>
        <w:rPr>
          <w:rFonts w:ascii="Arial" w:hAnsi="Arial"/>
          <w:b/>
          <w:color w:val="0F172A"/>
          <w:sz w:val="30"/>
        </w:rPr>
        <w:t>6. Dual Prevention Engine: Native MCP Server &amp; CLI Sentinel</w:t>
      </w:r>
    </w:p>
    <w:p>
      <w:r>
        <w:t>Traditional tools only scan after the developer has finished coding. VibeLens implements an industry-first dual prevention engine operating before and after code generation:</w:t>
      </w:r>
    </w:p>
    <w:p>
      <w:pPr>
        <w:keepNext/>
        <w:spacing w:before="240" w:after="80"/>
      </w:pPr>
      <w:r>
        <w:rPr>
          <w:rFonts w:ascii="Arial" w:hAnsi="Arial"/>
          <w:b/>
          <w:color w:val="7C3AED"/>
          <w:sz w:val="24"/>
        </w:rPr>
        <w:t>6.1 Native Model Context Protocol (MCP) Server</w:t>
      </w:r>
    </w:p>
    <w:p>
      <w:r>
        <w:t>Running via standard JSON-RPC, VibeLens registers two native tools directly with Cursor and Claude Code:</w:t>
      </w:r>
    </w:p>
    <w:p>
      <w:pPr>
        <w:pStyle w:val="ListBullet"/>
        <w:spacing w:before="40" w:after="40"/>
      </w:pPr>
      <w:r>
        <w:rPr>
          <w:b/>
          <w:color w:val="0F172A"/>
        </w:rPr>
        <w:t xml:space="preserve">Tool 1: find_existing_utility({ purpose, keywords }): </w:t>
      </w:r>
      <w:r>
        <w:rPr>
          <w:color w:val="1E293B"/>
        </w:rPr>
        <w:t>Before writing a new helper function, the AI agent calls this tool. VibeLens searches the AST vector registry. If a utility like formatDate() already exists, VibeLens returns the canonical import path, stopping the AI from generating a duplicate.</w:t>
      </w:r>
    </w:p>
    <w:p>
      <w:pPr>
        <w:pStyle w:val="ListBullet"/>
        <w:spacing w:before="40" w:after="40"/>
      </w:pPr>
      <w:r>
        <w:rPr>
          <w:b/>
          <w:color w:val="0F172A"/>
        </w:rPr>
        <w:t xml:space="preserve">Tool 2: check_package({ packageName, intendedFunction }): </w:t>
      </w:r>
      <w:r>
        <w:rPr>
          <w:color w:val="1E293B"/>
        </w:rPr>
        <w:t>Before the AI agent runs npm install, it queries VibeLens. VibeLens checks the OSV database. If the package contains high-severity vulnerabilities in the requested function, the AI is advised to select a secure alternative.</w:t>
      </w:r>
    </w:p>
    <w:p>
      <w:pPr>
        <w:keepNext/>
        <w:spacing w:before="240" w:after="80"/>
      </w:pPr>
      <w:r>
        <w:rPr>
          <w:rFonts w:ascii="Arial" w:hAnsi="Arial"/>
          <w:b/>
          <w:color w:val="2563EB"/>
          <w:sz w:val="24"/>
        </w:rPr>
        <w:t>6.2 Local CLI Sentinel (vibelens watch)</w:t>
      </w:r>
    </w:p>
    <w:p>
      <w:r>
        <w:t>For manual edits or non-MCP workflows, running `npx vibelens watch` monitors AST diffs at 1Hz. The moment an unneeded package or duplicate helper is saved, an instant terminal prompt triggers with one-key auto-resolution.</w:t>
      </w:r>
    </w:p>
    <w:p>
      <w:pPr>
        <w:keepNext/>
        <w:spacing w:before="360" w:after="120"/>
      </w:pPr>
      <w:r>
        <w:rPr>
          <w:rFonts w:ascii="Arial" w:hAnsi="Arial"/>
          <w:b/>
          <w:color w:val="0F172A"/>
          <w:sz w:val="30"/>
        </w:rPr>
        <w:t>7. The Blast Radius Inspector (Solving The Black-Box Terror)</w:t>
      </w:r>
    </w:p>
    <w:p>
      <w:r>
        <w:t>Problem #5 is solved through bidirectional DAG traversal. Selecting any file or function in the 3D WebGL galaxy opens the Blast Radius HUD:</w:t>
      </w:r>
    </w:p>
    <w:p>
      <w:pPr>
        <w:keepNext/>
        <w:spacing w:before="200" w:after="80"/>
        <w:jc w:val="center"/>
      </w:pPr>
    </w:p>
    <w:p>
      <w:r>
        <w:drawing>
          <wp:inline xmlns:a="http://schemas.openxmlformats.org/drawingml/2006/main" xmlns:pic="http://schemas.openxmlformats.org/drawingml/2006/picture">
            <wp:extent cx="6035040" cy="3049283"/>
            <wp:docPr id="3" name="Picture 3"/>
            <wp:cNvGraphicFramePr>
              <a:graphicFrameLocks noChangeAspect="1"/>
            </wp:cNvGraphicFramePr>
            <a:graphic>
              <a:graphicData uri="http://schemas.openxmlformats.org/drawingml/2006/picture">
                <pic:pic>
                  <pic:nvPicPr>
                    <pic:cNvPr id="0" name="graphic3_blast_radius.png"/>
                    <pic:cNvPicPr/>
                  </pic:nvPicPr>
                  <pic:blipFill>
                    <a:blip r:embed="rId11"/>
                    <a:stretch>
                      <a:fillRect/>
                    </a:stretch>
                  </pic:blipFill>
                  <pic:spPr>
                    <a:xfrm>
                      <a:off x="0" y="0"/>
                      <a:ext cx="6035040" cy="3049283"/>
                    </a:xfrm>
                    <a:prstGeom prst="rect"/>
                  </pic:spPr>
                </pic:pic>
              </a:graphicData>
            </a:graphic>
          </wp:inline>
        </w:drawing>
      </w:r>
    </w:p>
    <w:p>
      <w:pPr>
        <w:spacing w:before="40" w:after="200"/>
        <w:jc w:val="center"/>
      </w:pPr>
      <w:r>
        <w:rPr>
          <w:i/>
          <w:color w:val="64748B"/>
          <w:sz w:val="17"/>
        </w:rPr>
        <w:t>Figure: Interactive Blast Radius HUD: Bidirectional Impact Analysis Showing Upstream Callers &amp; Downstream Packages</w:t>
      </w:r>
    </w:p>
    <w:p>
      <w:pPr>
        <w:pStyle w:val="ListBullet"/>
        <w:spacing w:before="40" w:after="40"/>
      </w:pPr>
      <w:r>
        <w:rPr>
          <w:b/>
          <w:color w:val="0F172A"/>
        </w:rPr>
        <w:t xml:space="preserve">Upstream Impact (What Breaks): </w:t>
      </w:r>
      <w:r>
        <w:rPr>
          <w:color w:val="1E293B"/>
        </w:rPr>
        <w:t>Instantly highlights every route, component, and hook that calls the selected function. If you delete or alter this file, VibeLens lists the exact 4 files that will fail.</w:t>
      </w:r>
    </w:p>
    <w:p>
      <w:pPr>
        <w:pStyle w:val="ListBullet"/>
        <w:spacing w:before="40" w:after="40"/>
      </w:pPr>
      <w:r>
        <w:rPr>
          <w:b/>
          <w:color w:val="0F172A"/>
        </w:rPr>
        <w:t xml:space="preserve">Downstream Dependencies (What It Needs): </w:t>
      </w:r>
      <w:r>
        <w:rPr>
          <w:color w:val="1E293B"/>
        </w:rPr>
        <w:t>Lists all imported npm packages and internal sub-utilities required to execute the node.</w:t>
      </w:r>
    </w:p>
    <w:p>
      <w:pPr>
        <w:keepNext/>
        <w:spacing w:before="360" w:after="120"/>
      </w:pPr>
      <w:r>
        <w:rPr>
          <w:rFonts w:ascii="Arial" w:hAnsi="Arial"/>
          <w:b/>
          <w:color w:val="0F172A"/>
          <w:sz w:val="30"/>
        </w:rPr>
        <w:t>8. The Safety Net: Automated Test-Suite Verification</w:t>
      </w:r>
    </w:p>
    <w:p>
      <w:r>
        <w:t>Unattended automated refactoring destroys developer trust if it breaks working code. VibeLens enforces a strict safety net before any Pull Request is created:</w:t>
      </w:r>
    </w:p>
    <w:p>
      <w:pPr>
        <w:pStyle w:val="ListBullet"/>
        <w:spacing w:before="40" w:after="40"/>
      </w:pPr>
      <w:r>
        <w:rPr>
          <w:b/>
          <w:color w:val="0F172A"/>
        </w:rPr>
        <w:t xml:space="preserve">Step 1: Visual Semantic Diff: </w:t>
      </w:r>
      <w:r>
        <w:rPr>
          <w:color w:val="1E293B"/>
        </w:rPr>
        <w:t>The dashboard renders a unified diff preview showing exact consolidations and import rewrites.</w:t>
      </w:r>
    </w:p>
    <w:p>
      <w:pPr>
        <w:pStyle w:val="ListBullet"/>
        <w:spacing w:before="40" w:after="40"/>
      </w:pPr>
      <w:r>
        <w:rPr>
          <w:b/>
          <w:color w:val="0F172A"/>
        </w:rPr>
        <w:t xml:space="preserve">Step 2: Automated Local Test Runner: </w:t>
      </w:r>
      <w:r>
        <w:rPr>
          <w:color w:val="1E293B"/>
        </w:rPr>
        <w:t>VibeLens spawns a child process executing the repository's native test suite (npm test, vitest, or jest).</w:t>
      </w:r>
    </w:p>
    <w:p>
      <w:pPr>
        <w:pStyle w:val="ListBullet"/>
        <w:spacing w:before="40" w:after="40"/>
      </w:pPr>
      <w:r>
        <w:rPr>
          <w:b/>
          <w:color w:val="0F172A"/>
        </w:rPr>
        <w:t xml:space="preserve">Step 3: Gated GitHub Pull Request: </w:t>
      </w:r>
      <w:r>
        <w:rPr>
          <w:color w:val="1E293B"/>
        </w:rPr>
        <w:t>Only if 100% of existing unit and integration tests pass green does VibeLens invoke @octokit/rest to open the Pull Request. If tests fail, the refactor is cleanly aborted with a detailed diagnostic log.</w:t>
      </w:r>
    </w:p>
    <w:p>
      <w:pPr>
        <w:keepNext/>
        <w:spacing w:before="360" w:after="120"/>
      </w:pPr>
      <w:r>
        <w:rPr>
          <w:rFonts w:ascii="Arial" w:hAnsi="Arial"/>
          <w:b/>
          <w:color w:val="0F172A"/>
          <w:sz w:val="30"/>
        </w:rPr>
        <w:t>9. Empirical Benchmarks &amp; Token Measurement</w:t>
      </w:r>
    </w:p>
    <w:p>
      <w:r>
        <w:t>To replace unsourced claims with verifiable data, we conducted an empirical benchmark across 10 open-source repositories built predominantly with AI vibe coding (Cursor/Bolt/v0):</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F172A"/>
            <w:tcMar>
              <w:top w:w="90" w:type="dxa"/>
              <w:bottom w:w="90" w:type="dxa"/>
              <w:left w:w="100" w:type="dxa"/>
              <w:right w:w="100" w:type="dxa"/>
            </w:tcMar>
          </w:tcPr>
          <w:p>
            <w:r>
              <w:rPr>
                <w:b/>
                <w:color w:val="FFFFFF"/>
                <w:sz w:val="17"/>
              </w:rPr>
              <w:t>Repository Type</w:t>
            </w:r>
          </w:p>
        </w:tc>
        <w:tc>
          <w:tcPr>
            <w:tcW w:type="dxa" w:w="1958"/>
            <w:shd w:fill="0F172A"/>
            <w:tcMar>
              <w:top w:w="90" w:type="dxa"/>
              <w:bottom w:w="90" w:type="dxa"/>
              <w:left w:w="100" w:type="dxa"/>
              <w:right w:w="100" w:type="dxa"/>
            </w:tcMar>
          </w:tcPr>
          <w:p>
            <w:r>
              <w:rPr>
                <w:b/>
                <w:color w:val="FFFFFF"/>
                <w:sz w:val="17"/>
              </w:rPr>
              <w:t>Files</w:t>
            </w:r>
          </w:p>
        </w:tc>
        <w:tc>
          <w:tcPr>
            <w:tcW w:type="dxa" w:w="1958"/>
            <w:shd w:fill="0F172A"/>
            <w:tcMar>
              <w:top w:w="90" w:type="dxa"/>
              <w:bottom w:w="90" w:type="dxa"/>
              <w:left w:w="100" w:type="dxa"/>
              <w:right w:w="100" w:type="dxa"/>
            </w:tcMar>
          </w:tcPr>
          <w:p>
            <w:r>
              <w:rPr>
                <w:b/>
                <w:color w:val="FFFFFF"/>
                <w:sz w:val="17"/>
              </w:rPr>
              <w:t>Duplicate Helpers</w:t>
            </w:r>
          </w:p>
        </w:tc>
        <w:tc>
          <w:tcPr>
            <w:tcW w:type="dxa" w:w="1958"/>
            <w:shd w:fill="0F172A"/>
            <w:tcMar>
              <w:top w:w="90" w:type="dxa"/>
              <w:bottom w:w="90" w:type="dxa"/>
              <w:left w:w="100" w:type="dxa"/>
              <w:right w:w="100" w:type="dxa"/>
            </w:tcMar>
          </w:tcPr>
          <w:p>
            <w:r>
              <w:rPr>
                <w:b/>
                <w:color w:val="FFFFFF"/>
                <w:sz w:val="17"/>
              </w:rPr>
              <w:t>CVEs (Total ➔ Reachable)</w:t>
            </w:r>
          </w:p>
        </w:tc>
        <w:tc>
          <w:tcPr>
            <w:tcW w:type="dxa" w:w="1958"/>
            <w:shd w:fill="0F172A"/>
            <w:tcMar>
              <w:top w:w="90" w:type="dxa"/>
              <w:bottom w:w="90" w:type="dxa"/>
              <w:left w:w="100" w:type="dxa"/>
              <w:right w:w="100" w:type="dxa"/>
            </w:tcMar>
          </w:tcPr>
          <w:p>
            <w:r>
              <w:rPr>
                <w:b/>
                <w:color w:val="FFFFFF"/>
                <w:sz w:val="17"/>
              </w:rPr>
              <w:t>Token Savings</w:t>
            </w:r>
          </w:p>
        </w:tc>
      </w:tr>
      <w:tr>
        <w:tc>
          <w:tcPr>
            <w:tcW w:type="dxa" w:w="2592"/>
            <w:shd w:fill="F8FAFC"/>
            <w:tcMar>
              <w:top w:w="70" w:type="dxa"/>
              <w:bottom w:w="70" w:type="dxa"/>
              <w:left w:w="90" w:type="dxa"/>
              <w:right w:w="90" w:type="dxa"/>
            </w:tcMar>
          </w:tcPr>
          <w:p>
            <w:r>
              <w:rPr>
                <w:color w:val="1E293B"/>
                <w:sz w:val="16"/>
              </w:rPr>
              <w:t>E-Commerce Dashboard</w:t>
            </w:r>
          </w:p>
        </w:tc>
        <w:tc>
          <w:tcPr>
            <w:tcW w:type="dxa" w:w="1152"/>
            <w:shd w:fill="F8FAFC"/>
            <w:tcMar>
              <w:top w:w="70" w:type="dxa"/>
              <w:bottom w:w="70" w:type="dxa"/>
              <w:left w:w="90" w:type="dxa"/>
              <w:right w:w="90" w:type="dxa"/>
            </w:tcMar>
          </w:tcPr>
          <w:p>
            <w:r>
              <w:rPr>
                <w:color w:val="1E293B"/>
                <w:sz w:val="16"/>
              </w:rPr>
              <w:t>64</w:t>
            </w:r>
          </w:p>
        </w:tc>
        <w:tc>
          <w:tcPr>
            <w:tcW w:type="dxa" w:w="1872"/>
            <w:shd w:fill="F8FAFC"/>
            <w:tcMar>
              <w:top w:w="70" w:type="dxa"/>
              <w:bottom w:w="70" w:type="dxa"/>
              <w:left w:w="90" w:type="dxa"/>
              <w:right w:w="90" w:type="dxa"/>
            </w:tcMar>
          </w:tcPr>
          <w:p>
            <w:r>
              <w:rPr>
                <w:color w:val="1E293B"/>
                <w:sz w:val="16"/>
              </w:rPr>
              <w:t>11 duplicates</w:t>
            </w:r>
          </w:p>
        </w:tc>
        <w:tc>
          <w:tcPr>
            <w:tcW w:type="dxa" w:w="2736"/>
            <w:shd w:fill="F8FAFC"/>
            <w:tcMar>
              <w:top w:w="70" w:type="dxa"/>
              <w:bottom w:w="70" w:type="dxa"/>
              <w:left w:w="90" w:type="dxa"/>
              <w:right w:w="90" w:type="dxa"/>
            </w:tcMar>
          </w:tcPr>
          <w:p>
            <w:r>
              <w:rPr>
                <w:color w:val="1E293B"/>
                <w:sz w:val="16"/>
              </w:rPr>
              <w:t>28 CVEs ➔ 2 Reachable</w:t>
            </w:r>
          </w:p>
        </w:tc>
        <w:tc>
          <w:tcPr>
            <w:tcW w:type="dxa" w:w="1440"/>
            <w:shd w:fill="F8FAFC"/>
            <w:tcMar>
              <w:top w:w="70" w:type="dxa"/>
              <w:bottom w:w="70" w:type="dxa"/>
              <w:left w:w="90" w:type="dxa"/>
              <w:right w:w="90" w:type="dxa"/>
            </w:tcMar>
          </w:tcPr>
          <w:p>
            <w:r>
              <w:rPr>
                <w:color w:val="1E293B"/>
                <w:sz w:val="16"/>
              </w:rPr>
              <w:t>-38.2% (cl100k)</w:t>
            </w:r>
          </w:p>
        </w:tc>
      </w:tr>
      <w:tr>
        <w:tc>
          <w:tcPr>
            <w:tcW w:type="dxa" w:w="2592"/>
            <w:shd w:fill="FFFFFF"/>
            <w:tcMar>
              <w:top w:w="70" w:type="dxa"/>
              <w:bottom w:w="70" w:type="dxa"/>
              <w:left w:w="90" w:type="dxa"/>
              <w:right w:w="90" w:type="dxa"/>
            </w:tcMar>
          </w:tcPr>
          <w:p>
            <w:r>
              <w:rPr>
                <w:color w:val="1E293B"/>
                <w:sz w:val="16"/>
              </w:rPr>
              <w:t>SaaS AI Copilot App</w:t>
            </w:r>
          </w:p>
        </w:tc>
        <w:tc>
          <w:tcPr>
            <w:tcW w:type="dxa" w:w="1152"/>
            <w:shd w:fill="FFFFFF"/>
            <w:tcMar>
              <w:top w:w="70" w:type="dxa"/>
              <w:bottom w:w="70" w:type="dxa"/>
              <w:left w:w="90" w:type="dxa"/>
              <w:right w:w="90" w:type="dxa"/>
            </w:tcMar>
          </w:tcPr>
          <w:p>
            <w:r>
              <w:rPr>
                <w:color w:val="1E293B"/>
                <w:sz w:val="16"/>
              </w:rPr>
              <w:t>92</w:t>
            </w:r>
          </w:p>
        </w:tc>
        <w:tc>
          <w:tcPr>
            <w:tcW w:type="dxa" w:w="1872"/>
            <w:shd w:fill="FFFFFF"/>
            <w:tcMar>
              <w:top w:w="70" w:type="dxa"/>
              <w:bottom w:w="70" w:type="dxa"/>
              <w:left w:w="90" w:type="dxa"/>
              <w:right w:w="90" w:type="dxa"/>
            </w:tcMar>
          </w:tcPr>
          <w:p>
            <w:r>
              <w:rPr>
                <w:color w:val="1E293B"/>
                <w:sz w:val="16"/>
              </w:rPr>
              <w:t>19 duplicates</w:t>
            </w:r>
          </w:p>
        </w:tc>
        <w:tc>
          <w:tcPr>
            <w:tcW w:type="dxa" w:w="2736"/>
            <w:shd w:fill="FFFFFF"/>
            <w:tcMar>
              <w:top w:w="70" w:type="dxa"/>
              <w:bottom w:w="70" w:type="dxa"/>
              <w:left w:w="90" w:type="dxa"/>
              <w:right w:w="90" w:type="dxa"/>
            </w:tcMar>
          </w:tcPr>
          <w:p>
            <w:r>
              <w:rPr>
                <w:color w:val="1E293B"/>
                <w:sz w:val="16"/>
              </w:rPr>
              <w:t>41 CVEs ➔ 3 Reachable</w:t>
            </w:r>
          </w:p>
        </w:tc>
        <w:tc>
          <w:tcPr>
            <w:tcW w:type="dxa" w:w="1440"/>
            <w:shd w:fill="FFFFFF"/>
            <w:tcMar>
              <w:top w:w="70" w:type="dxa"/>
              <w:bottom w:w="70" w:type="dxa"/>
              <w:left w:w="90" w:type="dxa"/>
              <w:right w:w="90" w:type="dxa"/>
            </w:tcMar>
          </w:tcPr>
          <w:p>
            <w:r>
              <w:rPr>
                <w:color w:val="1E293B"/>
                <w:sz w:val="16"/>
              </w:rPr>
              <w:t>-43.5% (cl100k)</w:t>
            </w:r>
          </w:p>
        </w:tc>
      </w:tr>
      <w:tr>
        <w:tc>
          <w:tcPr>
            <w:tcW w:type="dxa" w:w="2592"/>
            <w:shd w:fill="F8FAFC"/>
            <w:tcMar>
              <w:top w:w="70" w:type="dxa"/>
              <w:bottom w:w="70" w:type="dxa"/>
              <w:left w:w="90" w:type="dxa"/>
              <w:right w:w="90" w:type="dxa"/>
            </w:tcMar>
          </w:tcPr>
          <w:p>
            <w:r>
              <w:rPr>
                <w:color w:val="1E293B"/>
                <w:sz w:val="16"/>
              </w:rPr>
              <w:t>FinTech Crypto Portal</w:t>
            </w:r>
          </w:p>
        </w:tc>
        <w:tc>
          <w:tcPr>
            <w:tcW w:type="dxa" w:w="1152"/>
            <w:shd w:fill="F8FAFC"/>
            <w:tcMar>
              <w:top w:w="70" w:type="dxa"/>
              <w:bottom w:w="70" w:type="dxa"/>
              <w:left w:w="90" w:type="dxa"/>
              <w:right w:w="90" w:type="dxa"/>
            </w:tcMar>
          </w:tcPr>
          <w:p>
            <w:r>
              <w:rPr>
                <w:color w:val="1E293B"/>
                <w:sz w:val="16"/>
              </w:rPr>
              <w:t>55</w:t>
            </w:r>
          </w:p>
        </w:tc>
        <w:tc>
          <w:tcPr>
            <w:tcW w:type="dxa" w:w="1872"/>
            <w:shd w:fill="F8FAFC"/>
            <w:tcMar>
              <w:top w:w="70" w:type="dxa"/>
              <w:bottom w:w="70" w:type="dxa"/>
              <w:left w:w="90" w:type="dxa"/>
              <w:right w:w="90" w:type="dxa"/>
            </w:tcMar>
          </w:tcPr>
          <w:p>
            <w:r>
              <w:rPr>
                <w:color w:val="1E293B"/>
                <w:sz w:val="16"/>
              </w:rPr>
              <w:t>8 duplicates</w:t>
            </w:r>
          </w:p>
        </w:tc>
        <w:tc>
          <w:tcPr>
            <w:tcW w:type="dxa" w:w="2736"/>
            <w:shd w:fill="F8FAFC"/>
            <w:tcMar>
              <w:top w:w="70" w:type="dxa"/>
              <w:bottom w:w="70" w:type="dxa"/>
              <w:left w:w="90" w:type="dxa"/>
              <w:right w:w="90" w:type="dxa"/>
            </w:tcMar>
          </w:tcPr>
          <w:p>
            <w:r>
              <w:rPr>
                <w:color w:val="1E293B"/>
                <w:sz w:val="16"/>
              </w:rPr>
              <w:t>19 CVEs ➔ 1 Reachable</w:t>
            </w:r>
          </w:p>
        </w:tc>
        <w:tc>
          <w:tcPr>
            <w:tcW w:type="dxa" w:w="1440"/>
            <w:shd w:fill="F8FAFC"/>
            <w:tcMar>
              <w:top w:w="70" w:type="dxa"/>
              <w:bottom w:w="70" w:type="dxa"/>
              <w:left w:w="90" w:type="dxa"/>
              <w:right w:w="90" w:type="dxa"/>
            </w:tcMar>
          </w:tcPr>
          <w:p>
            <w:r>
              <w:rPr>
                <w:color w:val="1E293B"/>
                <w:sz w:val="16"/>
              </w:rPr>
              <w:t>-34.1% (cl100k)</w:t>
            </w:r>
          </w:p>
        </w:tc>
      </w:tr>
      <w:tr>
        <w:tc>
          <w:tcPr>
            <w:tcW w:type="dxa" w:w="2592"/>
            <w:shd w:fill="FFFFFF"/>
            <w:tcMar>
              <w:top w:w="70" w:type="dxa"/>
              <w:bottom w:w="70" w:type="dxa"/>
              <w:left w:w="90" w:type="dxa"/>
              <w:right w:w="90" w:type="dxa"/>
            </w:tcMar>
          </w:tcPr>
          <w:p>
            <w:r>
              <w:rPr>
                <w:color w:val="1E293B"/>
                <w:sz w:val="16"/>
              </w:rPr>
              <w:t>Social Chat Network</w:t>
            </w:r>
          </w:p>
        </w:tc>
        <w:tc>
          <w:tcPr>
            <w:tcW w:type="dxa" w:w="1152"/>
            <w:shd w:fill="FFFFFF"/>
            <w:tcMar>
              <w:top w:w="70" w:type="dxa"/>
              <w:bottom w:w="70" w:type="dxa"/>
              <w:left w:w="90" w:type="dxa"/>
              <w:right w:w="90" w:type="dxa"/>
            </w:tcMar>
          </w:tcPr>
          <w:p>
            <w:r>
              <w:rPr>
                <w:color w:val="1E293B"/>
                <w:sz w:val="16"/>
              </w:rPr>
              <w:t>78</w:t>
            </w:r>
          </w:p>
        </w:tc>
        <w:tc>
          <w:tcPr>
            <w:tcW w:type="dxa" w:w="1872"/>
            <w:shd w:fill="FFFFFF"/>
            <w:tcMar>
              <w:top w:w="70" w:type="dxa"/>
              <w:bottom w:w="70" w:type="dxa"/>
              <w:left w:w="90" w:type="dxa"/>
              <w:right w:w="90" w:type="dxa"/>
            </w:tcMar>
          </w:tcPr>
          <w:p>
            <w:r>
              <w:rPr>
                <w:color w:val="1E293B"/>
                <w:sz w:val="16"/>
              </w:rPr>
              <w:t>14 duplicates</w:t>
            </w:r>
          </w:p>
        </w:tc>
        <w:tc>
          <w:tcPr>
            <w:tcW w:type="dxa" w:w="2736"/>
            <w:shd w:fill="FFFFFF"/>
            <w:tcMar>
              <w:top w:w="70" w:type="dxa"/>
              <w:bottom w:w="70" w:type="dxa"/>
              <w:left w:w="90" w:type="dxa"/>
              <w:right w:w="90" w:type="dxa"/>
            </w:tcMar>
          </w:tcPr>
          <w:p>
            <w:r>
              <w:rPr>
                <w:color w:val="1E293B"/>
                <w:sz w:val="16"/>
              </w:rPr>
              <w:t>33 CVEs ➔ 4 Reachable</w:t>
            </w:r>
          </w:p>
        </w:tc>
        <w:tc>
          <w:tcPr>
            <w:tcW w:type="dxa" w:w="1440"/>
            <w:shd w:fill="FFFFFF"/>
            <w:tcMar>
              <w:top w:w="70" w:type="dxa"/>
              <w:bottom w:w="70" w:type="dxa"/>
              <w:left w:w="90" w:type="dxa"/>
              <w:right w:w="90" w:type="dxa"/>
            </w:tcMar>
          </w:tcPr>
          <w:p>
            <w:r>
              <w:rPr>
                <w:color w:val="1E293B"/>
                <w:sz w:val="16"/>
              </w:rPr>
              <w:t>-41.0% (cl100k)</w:t>
            </w:r>
          </w:p>
        </w:tc>
      </w:tr>
      <w:tr>
        <w:tc>
          <w:tcPr>
            <w:tcW w:type="dxa" w:w="2592"/>
            <w:shd w:fill="F1F5F9"/>
            <w:tcMar>
              <w:top w:w="70" w:type="dxa"/>
              <w:bottom w:w="70" w:type="dxa"/>
              <w:left w:w="90" w:type="dxa"/>
              <w:right w:w="90" w:type="dxa"/>
            </w:tcMar>
          </w:tcPr>
          <w:p>
            <w:r>
              <w:rPr>
                <w:b/>
                <w:color w:val="2563EB"/>
                <w:sz w:val="16"/>
              </w:rPr>
              <w:t>10-Repo Benchmark Mean</w:t>
            </w:r>
          </w:p>
        </w:tc>
        <w:tc>
          <w:tcPr>
            <w:tcW w:type="dxa" w:w="1152"/>
            <w:shd w:fill="F1F5F9"/>
            <w:tcMar>
              <w:top w:w="70" w:type="dxa"/>
              <w:bottom w:w="70" w:type="dxa"/>
              <w:left w:w="90" w:type="dxa"/>
              <w:right w:w="90" w:type="dxa"/>
            </w:tcMar>
          </w:tcPr>
          <w:p>
            <w:r>
              <w:rPr>
                <w:b/>
                <w:color w:val="2563EB"/>
                <w:sz w:val="16"/>
              </w:rPr>
              <w:t>72.2</w:t>
            </w:r>
          </w:p>
        </w:tc>
        <w:tc>
          <w:tcPr>
            <w:tcW w:type="dxa" w:w="1872"/>
            <w:shd w:fill="F1F5F9"/>
            <w:tcMar>
              <w:top w:w="70" w:type="dxa"/>
              <w:bottom w:w="70" w:type="dxa"/>
              <w:left w:w="90" w:type="dxa"/>
              <w:right w:w="90" w:type="dxa"/>
            </w:tcMar>
          </w:tcPr>
          <w:p>
            <w:r>
              <w:rPr>
                <w:b/>
                <w:color w:val="2563EB"/>
                <w:sz w:val="16"/>
              </w:rPr>
              <w:t>13.4 duplicates</w:t>
            </w:r>
          </w:p>
        </w:tc>
        <w:tc>
          <w:tcPr>
            <w:tcW w:type="dxa" w:w="2736"/>
            <w:shd w:fill="F1F5F9"/>
            <w:tcMar>
              <w:top w:w="70" w:type="dxa"/>
              <w:bottom w:w="70" w:type="dxa"/>
              <w:left w:w="90" w:type="dxa"/>
              <w:right w:w="90" w:type="dxa"/>
            </w:tcMar>
          </w:tcPr>
          <w:p>
            <w:r>
              <w:rPr>
                <w:b/>
                <w:color w:val="2563EB"/>
                <w:sz w:val="16"/>
              </w:rPr>
              <w:t>30.2 ➔ 2.5 Reachable (88.6% Silenced)</w:t>
            </w:r>
          </w:p>
        </w:tc>
        <w:tc>
          <w:tcPr>
            <w:tcW w:type="dxa" w:w="1440"/>
            <w:shd w:fill="F1F5F9"/>
            <w:tcMar>
              <w:top w:w="70" w:type="dxa"/>
              <w:bottom w:w="70" w:type="dxa"/>
              <w:left w:w="90" w:type="dxa"/>
              <w:right w:w="90" w:type="dxa"/>
            </w:tcMar>
          </w:tcPr>
          <w:p>
            <w:r>
              <w:rPr>
                <w:b/>
                <w:color w:val="2563EB"/>
                <w:sz w:val="16"/>
              </w:rPr>
              <w:t>-39.6% Avg Savings</w:t>
            </w:r>
          </w:p>
        </w:tc>
      </w:tr>
    </w:tbl>
    <w:p>
      <w:pPr>
        <w:spacing w:after="160"/>
      </w:pPr>
    </w:p>
    <w:p>
      <w:r>
        <w:rPr>
          <w:i/>
          <w:color w:val="64748B"/>
        </w:rPr>
        <w:t>"VibeLens eliminated 35 noisy Dependabot alerts on our Next.js codebase down to the single real exploit in our file-parser, and our Cursor prompt responses became noticeably snappier once the duplicate helper slop was purged." — Alex M., Lead Engineer &amp; Beta Tester</w:t>
      </w:r>
    </w:p>
    <w:p>
      <w:pPr>
        <w:keepNext/>
        <w:spacing w:before="360" w:after="120"/>
      </w:pPr>
      <w:r>
        <w:rPr>
          <w:rFonts w:ascii="Arial" w:hAnsi="Arial"/>
          <w:b/>
          <w:color w:val="0F172A"/>
          <w:sz w:val="30"/>
        </w:rPr>
        <w:t>10. Competitive Analysis: VibeLens vs The Industry</w:t>
      </w:r>
    </w:p>
    <w:p>
      <w:r>
        <w:t>A direct capability matrix comparing VibeLens against legacy vulnerability scanners and AST linters:</w:t>
      </w:r>
    </w:p>
    <w:tbl>
      <w:tblPr>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fill="0F172A"/>
            <w:tcMar>
              <w:top w:w="80" w:type="dxa"/>
              <w:bottom w:w="80" w:type="dxa"/>
              <w:left w:w="80" w:type="dxa"/>
              <w:right w:w="80" w:type="dxa"/>
            </w:tcMar>
          </w:tcPr>
          <w:p>
            <w:r>
              <w:rPr>
                <w:b/>
                <w:color w:val="FFFFFF"/>
                <w:sz w:val="16"/>
              </w:rPr>
              <w:t>Capability</w:t>
            </w:r>
          </w:p>
        </w:tc>
        <w:tc>
          <w:tcPr>
            <w:tcW w:type="dxa" w:w="1399"/>
            <w:shd w:fill="0F172A"/>
            <w:tcMar>
              <w:top w:w="80" w:type="dxa"/>
              <w:bottom w:w="80" w:type="dxa"/>
              <w:left w:w="80" w:type="dxa"/>
              <w:right w:w="80" w:type="dxa"/>
            </w:tcMar>
          </w:tcPr>
          <w:p>
            <w:r>
              <w:rPr>
                <w:b/>
                <w:color w:val="FFFFFF"/>
                <w:sz w:val="16"/>
              </w:rPr>
              <w:t>VibeLens</w:t>
            </w:r>
          </w:p>
        </w:tc>
        <w:tc>
          <w:tcPr>
            <w:tcW w:type="dxa" w:w="1399"/>
            <w:shd w:fill="0F172A"/>
            <w:tcMar>
              <w:top w:w="80" w:type="dxa"/>
              <w:bottom w:w="80" w:type="dxa"/>
              <w:left w:w="80" w:type="dxa"/>
              <w:right w:w="80" w:type="dxa"/>
            </w:tcMar>
          </w:tcPr>
          <w:p>
            <w:r>
              <w:rPr>
                <w:b/>
                <w:color w:val="FFFFFF"/>
                <w:sz w:val="16"/>
              </w:rPr>
              <w:t>Snyk</w:t>
            </w:r>
          </w:p>
        </w:tc>
        <w:tc>
          <w:tcPr>
            <w:tcW w:type="dxa" w:w="1399"/>
            <w:shd w:fill="0F172A"/>
            <w:tcMar>
              <w:top w:w="80" w:type="dxa"/>
              <w:bottom w:w="80" w:type="dxa"/>
              <w:left w:w="80" w:type="dxa"/>
              <w:right w:w="80" w:type="dxa"/>
            </w:tcMar>
          </w:tcPr>
          <w:p>
            <w:r>
              <w:rPr>
                <w:b/>
                <w:color w:val="FFFFFF"/>
                <w:sz w:val="16"/>
              </w:rPr>
              <w:t>Endor Labs</w:t>
            </w:r>
          </w:p>
        </w:tc>
        <w:tc>
          <w:tcPr>
            <w:tcW w:type="dxa" w:w="1399"/>
            <w:shd w:fill="0F172A"/>
            <w:tcMar>
              <w:top w:w="80" w:type="dxa"/>
              <w:bottom w:w="80" w:type="dxa"/>
              <w:left w:w="80" w:type="dxa"/>
              <w:right w:w="80" w:type="dxa"/>
            </w:tcMar>
          </w:tcPr>
          <w:p>
            <w:r>
              <w:rPr>
                <w:b/>
                <w:color w:val="FFFFFF"/>
                <w:sz w:val="16"/>
              </w:rPr>
              <w:t>Socket</w:t>
            </w:r>
          </w:p>
        </w:tc>
        <w:tc>
          <w:tcPr>
            <w:tcW w:type="dxa" w:w="1399"/>
            <w:shd w:fill="0F172A"/>
            <w:tcMar>
              <w:top w:w="80" w:type="dxa"/>
              <w:bottom w:w="80" w:type="dxa"/>
              <w:left w:w="80" w:type="dxa"/>
              <w:right w:w="80" w:type="dxa"/>
            </w:tcMar>
          </w:tcPr>
          <w:p>
            <w:r>
              <w:rPr>
                <w:b/>
                <w:color w:val="FFFFFF"/>
                <w:sz w:val="16"/>
              </w:rPr>
              <w:t>knip</w:t>
            </w:r>
          </w:p>
        </w:tc>
        <w:tc>
          <w:tcPr>
            <w:tcW w:type="dxa" w:w="1399"/>
            <w:shd w:fill="0F172A"/>
            <w:tcMar>
              <w:top w:w="80" w:type="dxa"/>
              <w:bottom w:w="80" w:type="dxa"/>
              <w:left w:w="80" w:type="dxa"/>
              <w:right w:w="80" w:type="dxa"/>
            </w:tcMar>
          </w:tcPr>
          <w:p>
            <w:r>
              <w:rPr>
                <w:b/>
                <w:color w:val="FFFFFF"/>
                <w:sz w:val="16"/>
              </w:rPr>
              <w:t>jscpd</w:t>
            </w:r>
          </w:p>
        </w:tc>
      </w:tr>
      <w:tr>
        <w:tc>
          <w:tcPr>
            <w:tcW w:type="dxa" w:w="2592"/>
            <w:shd w:fill="F8FAFC"/>
            <w:tcMar>
              <w:top w:w="60" w:type="dxa"/>
              <w:bottom w:w="60" w:type="dxa"/>
              <w:left w:w="70" w:type="dxa"/>
              <w:right w:w="70" w:type="dxa"/>
            </w:tcMar>
          </w:tcPr>
          <w:p>
            <w:r>
              <w:rPr>
                <w:color w:val="1E293B"/>
                <w:sz w:val="15"/>
              </w:rPr>
              <w:t>Call-Graph Reachability</w:t>
            </w:r>
          </w:p>
        </w:tc>
        <w:tc>
          <w:tcPr>
            <w:tcW w:type="dxa" w:w="1440"/>
            <w:shd w:fill="F8FAFC"/>
            <w:tcMar>
              <w:top w:w="60" w:type="dxa"/>
              <w:bottom w:w="60" w:type="dxa"/>
              <w:left w:w="70" w:type="dxa"/>
              <w:right w:w="70" w:type="dxa"/>
            </w:tcMar>
          </w:tcPr>
          <w:p>
            <w:r>
              <w:rPr>
                <w:b/>
                <w:color w:val="7C3AED"/>
                <w:sz w:val="15"/>
              </w:rPr>
              <w:t>YES (4-Tier)</w:t>
            </w:r>
          </w:p>
        </w:tc>
        <w:tc>
          <w:tcPr>
            <w:tcW w:type="dxa" w:w="1152"/>
            <w:shd w:fill="F8FAFC"/>
            <w:tcMar>
              <w:top w:w="60" w:type="dxa"/>
              <w:bottom w:w="60" w:type="dxa"/>
              <w:left w:w="70" w:type="dxa"/>
              <w:right w:w="70" w:type="dxa"/>
            </w:tcMar>
          </w:tcPr>
          <w:p>
            <w:r>
              <w:rPr>
                <w:color w:val="1E293B"/>
                <w:sz w:val="15"/>
              </w:rPr>
              <w:t>Add-on (Cloud)</w:t>
            </w:r>
          </w:p>
        </w:tc>
        <w:tc>
          <w:tcPr>
            <w:tcW w:type="dxa" w:w="1296"/>
            <w:shd w:fill="F8FAFC"/>
            <w:tcMar>
              <w:top w:w="60" w:type="dxa"/>
              <w:bottom w:w="60" w:type="dxa"/>
              <w:left w:w="70" w:type="dxa"/>
              <w:right w:w="70" w:type="dxa"/>
            </w:tcMar>
          </w:tcPr>
          <w:p>
            <w:r>
              <w:rPr>
                <w:color w:val="1E293B"/>
                <w:sz w:val="15"/>
              </w:rPr>
              <w:t>YES (Enterprise)</w:t>
            </w:r>
          </w:p>
        </w:tc>
        <w:tc>
          <w:tcPr>
            <w:tcW w:type="dxa" w:w="1008"/>
            <w:shd w:fill="F8FAFC"/>
            <w:tcMar>
              <w:top w:w="60" w:type="dxa"/>
              <w:bottom w:w="60" w:type="dxa"/>
              <w:left w:w="70" w:type="dxa"/>
              <w:right w:w="70" w:type="dxa"/>
            </w:tcMar>
          </w:tcPr>
          <w:p>
            <w:r>
              <w:rPr>
                <w:color w:val="1E293B"/>
                <w:sz w:val="15"/>
              </w:rPr>
              <w:t>No</w:t>
            </w:r>
          </w:p>
        </w:tc>
        <w:tc>
          <w:tcPr>
            <w:tcW w:type="dxa" w:w="1152"/>
            <w:shd w:fill="F8FAFC"/>
            <w:tcMar>
              <w:top w:w="60" w:type="dxa"/>
              <w:bottom w:w="60" w:type="dxa"/>
              <w:left w:w="70" w:type="dxa"/>
              <w:right w:w="70" w:type="dxa"/>
            </w:tcMar>
          </w:tcPr>
          <w:p>
            <w:r>
              <w:rPr>
                <w:color w:val="1E293B"/>
                <w:sz w:val="15"/>
              </w:rPr>
              <w:t>No</w:t>
            </w:r>
          </w:p>
        </w:tc>
        <w:tc>
          <w:tcPr>
            <w:tcW w:type="dxa" w:w="1152"/>
            <w:shd w:fill="F8FAFC"/>
            <w:tcMar>
              <w:top w:w="60" w:type="dxa"/>
              <w:bottom w:w="60" w:type="dxa"/>
              <w:left w:w="70" w:type="dxa"/>
              <w:right w:w="70" w:type="dxa"/>
            </w:tcMar>
          </w:tcPr>
          <w:p>
            <w:r>
              <w:rPr>
                <w:color w:val="1E293B"/>
                <w:sz w:val="15"/>
              </w:rPr>
              <w:t>No</w:t>
            </w:r>
          </w:p>
        </w:tc>
      </w:tr>
      <w:tr>
        <w:tc>
          <w:tcPr>
            <w:tcW w:type="dxa" w:w="2592"/>
            <w:shd w:fill="FFFFFF"/>
            <w:tcMar>
              <w:top w:w="60" w:type="dxa"/>
              <w:bottom w:w="60" w:type="dxa"/>
              <w:left w:w="70" w:type="dxa"/>
              <w:right w:w="70" w:type="dxa"/>
            </w:tcMar>
          </w:tcPr>
          <w:p>
            <w:r>
              <w:rPr>
                <w:color w:val="1E293B"/>
                <w:sz w:val="15"/>
              </w:rPr>
              <w:t>Native Cursor MCP Server</w:t>
            </w:r>
          </w:p>
        </w:tc>
        <w:tc>
          <w:tcPr>
            <w:tcW w:type="dxa" w:w="1440"/>
            <w:shd w:fill="FFFFFF"/>
            <w:tcMar>
              <w:top w:w="60" w:type="dxa"/>
              <w:bottom w:w="60" w:type="dxa"/>
              <w:left w:w="70" w:type="dxa"/>
              <w:right w:w="70" w:type="dxa"/>
            </w:tcMar>
          </w:tcPr>
          <w:p>
            <w:r>
              <w:rPr>
                <w:b/>
                <w:color w:val="7C3AED"/>
                <w:sz w:val="15"/>
              </w:rPr>
              <w:t>YES</w:t>
            </w:r>
          </w:p>
        </w:tc>
        <w:tc>
          <w:tcPr>
            <w:tcW w:type="dxa" w:w="1152"/>
            <w:shd w:fill="FFFFFF"/>
            <w:tcMar>
              <w:top w:w="60" w:type="dxa"/>
              <w:bottom w:w="60" w:type="dxa"/>
              <w:left w:w="70" w:type="dxa"/>
              <w:right w:w="70" w:type="dxa"/>
            </w:tcMar>
          </w:tcPr>
          <w:p>
            <w:r>
              <w:rPr>
                <w:color w:val="1E293B"/>
                <w:sz w:val="15"/>
              </w:rPr>
              <w:t>No</w:t>
            </w:r>
          </w:p>
        </w:tc>
        <w:tc>
          <w:tcPr>
            <w:tcW w:type="dxa" w:w="1296"/>
            <w:shd w:fill="FFFFFF"/>
            <w:tcMar>
              <w:top w:w="60" w:type="dxa"/>
              <w:bottom w:w="60" w:type="dxa"/>
              <w:left w:w="70" w:type="dxa"/>
              <w:right w:w="70" w:type="dxa"/>
            </w:tcMar>
          </w:tcPr>
          <w:p>
            <w:r>
              <w:rPr>
                <w:color w:val="1E293B"/>
                <w:sz w:val="15"/>
              </w:rPr>
              <w:t>No</w:t>
            </w:r>
          </w:p>
        </w:tc>
        <w:tc>
          <w:tcPr>
            <w:tcW w:type="dxa" w:w="1008"/>
            <w:shd w:fill="FFFFFF"/>
            <w:tcMar>
              <w:top w:w="60" w:type="dxa"/>
              <w:bottom w:w="60" w:type="dxa"/>
              <w:left w:w="70" w:type="dxa"/>
              <w:right w:w="70" w:type="dxa"/>
            </w:tcMar>
          </w:tcPr>
          <w:p>
            <w:r>
              <w:rPr>
                <w:color w:val="1E293B"/>
                <w:sz w:val="15"/>
              </w:rPr>
              <w:t>No</w:t>
            </w:r>
          </w:p>
        </w:tc>
        <w:tc>
          <w:tcPr>
            <w:tcW w:type="dxa" w:w="1152"/>
            <w:shd w:fill="FFFFFF"/>
            <w:tcMar>
              <w:top w:w="60" w:type="dxa"/>
              <w:bottom w:w="60" w:type="dxa"/>
              <w:left w:w="70" w:type="dxa"/>
              <w:right w:w="70" w:type="dxa"/>
            </w:tcMar>
          </w:tcPr>
          <w:p>
            <w:r>
              <w:rPr>
                <w:color w:val="1E293B"/>
                <w:sz w:val="15"/>
              </w:rPr>
              <w:t>No</w:t>
            </w:r>
          </w:p>
        </w:tc>
        <w:tc>
          <w:tcPr>
            <w:tcW w:type="dxa" w:w="1152"/>
            <w:shd w:fill="FFFFFF"/>
            <w:tcMar>
              <w:top w:w="60" w:type="dxa"/>
              <w:bottom w:w="60" w:type="dxa"/>
              <w:left w:w="70" w:type="dxa"/>
              <w:right w:w="70" w:type="dxa"/>
            </w:tcMar>
          </w:tcPr>
          <w:p>
            <w:r>
              <w:rPr>
                <w:color w:val="1E293B"/>
                <w:sz w:val="15"/>
              </w:rPr>
              <w:t>No</w:t>
            </w:r>
          </w:p>
        </w:tc>
      </w:tr>
      <w:tr>
        <w:tc>
          <w:tcPr>
            <w:tcW w:type="dxa" w:w="2592"/>
            <w:shd w:fill="F8FAFC"/>
            <w:tcMar>
              <w:top w:w="60" w:type="dxa"/>
              <w:bottom w:w="60" w:type="dxa"/>
              <w:left w:w="70" w:type="dxa"/>
              <w:right w:w="70" w:type="dxa"/>
            </w:tcMar>
          </w:tcPr>
          <w:p>
            <w:r>
              <w:rPr>
                <w:color w:val="1E293B"/>
                <w:sz w:val="15"/>
              </w:rPr>
              <w:t>Token Window Optimizer</w:t>
            </w:r>
          </w:p>
        </w:tc>
        <w:tc>
          <w:tcPr>
            <w:tcW w:type="dxa" w:w="1440"/>
            <w:shd w:fill="F8FAFC"/>
            <w:tcMar>
              <w:top w:w="60" w:type="dxa"/>
              <w:bottom w:w="60" w:type="dxa"/>
              <w:left w:w="70" w:type="dxa"/>
              <w:right w:w="70" w:type="dxa"/>
            </w:tcMar>
          </w:tcPr>
          <w:p>
            <w:r>
              <w:rPr>
                <w:b/>
                <w:color w:val="7C3AED"/>
                <w:sz w:val="15"/>
              </w:rPr>
              <w:t>YES (-40%)</w:t>
            </w:r>
          </w:p>
        </w:tc>
        <w:tc>
          <w:tcPr>
            <w:tcW w:type="dxa" w:w="1152"/>
            <w:shd w:fill="F8FAFC"/>
            <w:tcMar>
              <w:top w:w="60" w:type="dxa"/>
              <w:bottom w:w="60" w:type="dxa"/>
              <w:left w:w="70" w:type="dxa"/>
              <w:right w:w="70" w:type="dxa"/>
            </w:tcMar>
          </w:tcPr>
          <w:p>
            <w:r>
              <w:rPr>
                <w:color w:val="1E293B"/>
                <w:sz w:val="15"/>
              </w:rPr>
              <w:t>No</w:t>
            </w:r>
          </w:p>
        </w:tc>
        <w:tc>
          <w:tcPr>
            <w:tcW w:type="dxa" w:w="1296"/>
            <w:shd w:fill="F8FAFC"/>
            <w:tcMar>
              <w:top w:w="60" w:type="dxa"/>
              <w:bottom w:w="60" w:type="dxa"/>
              <w:left w:w="70" w:type="dxa"/>
              <w:right w:w="70" w:type="dxa"/>
            </w:tcMar>
          </w:tcPr>
          <w:p>
            <w:r>
              <w:rPr>
                <w:color w:val="1E293B"/>
                <w:sz w:val="15"/>
              </w:rPr>
              <w:t>No</w:t>
            </w:r>
          </w:p>
        </w:tc>
        <w:tc>
          <w:tcPr>
            <w:tcW w:type="dxa" w:w="1008"/>
            <w:shd w:fill="F8FAFC"/>
            <w:tcMar>
              <w:top w:w="60" w:type="dxa"/>
              <w:bottom w:w="60" w:type="dxa"/>
              <w:left w:w="70" w:type="dxa"/>
              <w:right w:w="70" w:type="dxa"/>
            </w:tcMar>
          </w:tcPr>
          <w:p>
            <w:r>
              <w:rPr>
                <w:color w:val="1E293B"/>
                <w:sz w:val="15"/>
              </w:rPr>
              <w:t>No</w:t>
            </w:r>
          </w:p>
        </w:tc>
        <w:tc>
          <w:tcPr>
            <w:tcW w:type="dxa" w:w="1152"/>
            <w:shd w:fill="F8FAFC"/>
            <w:tcMar>
              <w:top w:w="60" w:type="dxa"/>
              <w:bottom w:w="60" w:type="dxa"/>
              <w:left w:w="70" w:type="dxa"/>
              <w:right w:w="70" w:type="dxa"/>
            </w:tcMar>
          </w:tcPr>
          <w:p>
            <w:r>
              <w:rPr>
                <w:color w:val="1E293B"/>
                <w:sz w:val="15"/>
              </w:rPr>
              <w:t>Partial</w:t>
            </w:r>
          </w:p>
        </w:tc>
        <w:tc>
          <w:tcPr>
            <w:tcW w:type="dxa" w:w="1152"/>
            <w:shd w:fill="F8FAFC"/>
            <w:tcMar>
              <w:top w:w="60" w:type="dxa"/>
              <w:bottom w:w="60" w:type="dxa"/>
              <w:left w:w="70" w:type="dxa"/>
              <w:right w:w="70" w:type="dxa"/>
            </w:tcMar>
          </w:tcPr>
          <w:p>
            <w:r>
              <w:rPr>
                <w:color w:val="1E293B"/>
                <w:sz w:val="15"/>
              </w:rPr>
              <w:t>No</w:t>
            </w:r>
          </w:p>
        </w:tc>
      </w:tr>
      <w:tr>
        <w:tc>
          <w:tcPr>
            <w:tcW w:type="dxa" w:w="2592"/>
            <w:shd w:fill="FFFFFF"/>
            <w:tcMar>
              <w:top w:w="60" w:type="dxa"/>
              <w:bottom w:w="60" w:type="dxa"/>
              <w:left w:w="70" w:type="dxa"/>
              <w:right w:w="70" w:type="dxa"/>
            </w:tcMar>
          </w:tcPr>
          <w:p>
            <w:r>
              <w:rPr>
                <w:color w:val="1E293B"/>
                <w:sz w:val="15"/>
              </w:rPr>
              <w:t>Interactive 3D Galaxy</w:t>
            </w:r>
          </w:p>
        </w:tc>
        <w:tc>
          <w:tcPr>
            <w:tcW w:type="dxa" w:w="1440"/>
            <w:shd w:fill="FFFFFF"/>
            <w:tcMar>
              <w:top w:w="60" w:type="dxa"/>
              <w:bottom w:w="60" w:type="dxa"/>
              <w:left w:w="70" w:type="dxa"/>
              <w:right w:w="70" w:type="dxa"/>
            </w:tcMar>
          </w:tcPr>
          <w:p>
            <w:r>
              <w:rPr>
                <w:b/>
                <w:color w:val="7C3AED"/>
                <w:sz w:val="15"/>
              </w:rPr>
              <w:t>YES</w:t>
            </w:r>
          </w:p>
        </w:tc>
        <w:tc>
          <w:tcPr>
            <w:tcW w:type="dxa" w:w="1152"/>
            <w:shd w:fill="FFFFFF"/>
            <w:tcMar>
              <w:top w:w="60" w:type="dxa"/>
              <w:bottom w:w="60" w:type="dxa"/>
              <w:left w:w="70" w:type="dxa"/>
              <w:right w:w="70" w:type="dxa"/>
            </w:tcMar>
          </w:tcPr>
          <w:p>
            <w:r>
              <w:rPr>
                <w:color w:val="1E293B"/>
                <w:sz w:val="15"/>
              </w:rPr>
              <w:t>No</w:t>
            </w:r>
          </w:p>
        </w:tc>
        <w:tc>
          <w:tcPr>
            <w:tcW w:type="dxa" w:w="1296"/>
            <w:shd w:fill="FFFFFF"/>
            <w:tcMar>
              <w:top w:w="60" w:type="dxa"/>
              <w:bottom w:w="60" w:type="dxa"/>
              <w:left w:w="70" w:type="dxa"/>
              <w:right w:w="70" w:type="dxa"/>
            </w:tcMar>
          </w:tcPr>
          <w:p>
            <w:r>
              <w:rPr>
                <w:color w:val="1E293B"/>
                <w:sz w:val="15"/>
              </w:rPr>
              <w:t>No</w:t>
            </w:r>
          </w:p>
        </w:tc>
        <w:tc>
          <w:tcPr>
            <w:tcW w:type="dxa" w:w="1008"/>
            <w:shd w:fill="FFFFFF"/>
            <w:tcMar>
              <w:top w:w="60" w:type="dxa"/>
              <w:bottom w:w="60" w:type="dxa"/>
              <w:left w:w="70" w:type="dxa"/>
              <w:right w:w="70" w:type="dxa"/>
            </w:tcMar>
          </w:tcPr>
          <w:p>
            <w:r>
              <w:rPr>
                <w:color w:val="1E293B"/>
                <w:sz w:val="15"/>
              </w:rPr>
              <w:t>No</w:t>
            </w:r>
          </w:p>
        </w:tc>
        <w:tc>
          <w:tcPr>
            <w:tcW w:type="dxa" w:w="1152"/>
            <w:shd w:fill="FFFFFF"/>
            <w:tcMar>
              <w:top w:w="60" w:type="dxa"/>
              <w:bottom w:w="60" w:type="dxa"/>
              <w:left w:w="70" w:type="dxa"/>
              <w:right w:w="70" w:type="dxa"/>
            </w:tcMar>
          </w:tcPr>
          <w:p>
            <w:r>
              <w:rPr>
                <w:color w:val="1E293B"/>
                <w:sz w:val="15"/>
              </w:rPr>
              <w:t>No</w:t>
            </w:r>
          </w:p>
        </w:tc>
        <w:tc>
          <w:tcPr>
            <w:tcW w:type="dxa" w:w="1152"/>
            <w:shd w:fill="FFFFFF"/>
            <w:tcMar>
              <w:top w:w="60" w:type="dxa"/>
              <w:bottom w:w="60" w:type="dxa"/>
              <w:left w:w="70" w:type="dxa"/>
              <w:right w:w="70" w:type="dxa"/>
            </w:tcMar>
          </w:tcPr>
          <w:p>
            <w:r>
              <w:rPr>
                <w:color w:val="1E293B"/>
                <w:sz w:val="15"/>
              </w:rPr>
              <w:t>No</w:t>
            </w:r>
          </w:p>
        </w:tc>
      </w:tr>
      <w:tr>
        <w:tc>
          <w:tcPr>
            <w:tcW w:type="dxa" w:w="2592"/>
            <w:shd w:fill="F8FAFC"/>
            <w:tcMar>
              <w:top w:w="60" w:type="dxa"/>
              <w:bottom w:w="60" w:type="dxa"/>
              <w:left w:w="70" w:type="dxa"/>
              <w:right w:w="70" w:type="dxa"/>
            </w:tcMar>
          </w:tcPr>
          <w:p>
            <w:r>
              <w:rPr>
                <w:color w:val="1E293B"/>
                <w:sz w:val="15"/>
              </w:rPr>
              <w:t>100% Local-First Engine</w:t>
            </w:r>
          </w:p>
        </w:tc>
        <w:tc>
          <w:tcPr>
            <w:tcW w:type="dxa" w:w="1440"/>
            <w:shd w:fill="F8FAFC"/>
            <w:tcMar>
              <w:top w:w="60" w:type="dxa"/>
              <w:bottom w:w="60" w:type="dxa"/>
              <w:left w:w="70" w:type="dxa"/>
              <w:right w:w="70" w:type="dxa"/>
            </w:tcMar>
          </w:tcPr>
          <w:p>
            <w:r>
              <w:rPr>
                <w:b/>
                <w:color w:val="7C3AED"/>
                <w:sz w:val="15"/>
              </w:rPr>
              <w:t>YES</w:t>
            </w:r>
          </w:p>
        </w:tc>
        <w:tc>
          <w:tcPr>
            <w:tcW w:type="dxa" w:w="1152"/>
            <w:shd w:fill="F8FAFC"/>
            <w:tcMar>
              <w:top w:w="60" w:type="dxa"/>
              <w:bottom w:w="60" w:type="dxa"/>
              <w:left w:w="70" w:type="dxa"/>
              <w:right w:w="70" w:type="dxa"/>
            </w:tcMar>
          </w:tcPr>
          <w:p>
            <w:r>
              <w:rPr>
                <w:color w:val="1E293B"/>
                <w:sz w:val="15"/>
              </w:rPr>
              <w:t>No (SaaS)</w:t>
            </w:r>
          </w:p>
        </w:tc>
        <w:tc>
          <w:tcPr>
            <w:tcW w:type="dxa" w:w="1296"/>
            <w:shd w:fill="F8FAFC"/>
            <w:tcMar>
              <w:top w:w="60" w:type="dxa"/>
              <w:bottom w:w="60" w:type="dxa"/>
              <w:left w:w="70" w:type="dxa"/>
              <w:right w:w="70" w:type="dxa"/>
            </w:tcMar>
          </w:tcPr>
          <w:p>
            <w:r>
              <w:rPr>
                <w:color w:val="1E293B"/>
                <w:sz w:val="15"/>
              </w:rPr>
              <w:t>No (SaaS)</w:t>
            </w:r>
          </w:p>
        </w:tc>
        <w:tc>
          <w:tcPr>
            <w:tcW w:type="dxa" w:w="1008"/>
            <w:shd w:fill="F8FAFC"/>
            <w:tcMar>
              <w:top w:w="60" w:type="dxa"/>
              <w:bottom w:w="60" w:type="dxa"/>
              <w:left w:w="70" w:type="dxa"/>
              <w:right w:w="70" w:type="dxa"/>
            </w:tcMar>
          </w:tcPr>
          <w:p>
            <w:r>
              <w:rPr>
                <w:color w:val="1E293B"/>
                <w:sz w:val="15"/>
              </w:rPr>
              <w:t>Partial</w:t>
            </w:r>
          </w:p>
        </w:tc>
        <w:tc>
          <w:tcPr>
            <w:tcW w:type="dxa" w:w="1152"/>
            <w:shd w:fill="F8FAFC"/>
            <w:tcMar>
              <w:top w:w="60" w:type="dxa"/>
              <w:bottom w:w="60" w:type="dxa"/>
              <w:left w:w="70" w:type="dxa"/>
              <w:right w:w="70" w:type="dxa"/>
            </w:tcMar>
          </w:tcPr>
          <w:p>
            <w:r>
              <w:rPr>
                <w:color w:val="1E293B"/>
                <w:sz w:val="15"/>
              </w:rPr>
              <w:t>YES</w:t>
            </w:r>
          </w:p>
        </w:tc>
        <w:tc>
          <w:tcPr>
            <w:tcW w:type="dxa" w:w="1152"/>
            <w:shd w:fill="F8FAFC"/>
            <w:tcMar>
              <w:top w:w="60" w:type="dxa"/>
              <w:bottom w:w="60" w:type="dxa"/>
              <w:left w:w="70" w:type="dxa"/>
              <w:right w:w="70" w:type="dxa"/>
            </w:tcMar>
          </w:tcPr>
          <w:p>
            <w:r>
              <w:rPr>
                <w:color w:val="1E293B"/>
                <w:sz w:val="15"/>
              </w:rPr>
              <w:t>YES</w:t>
            </w:r>
          </w:p>
        </w:tc>
      </w:tr>
      <w:tr>
        <w:tc>
          <w:tcPr>
            <w:tcW w:type="dxa" w:w="2592"/>
            <w:shd w:fill="FFFFFF"/>
            <w:tcMar>
              <w:top w:w="60" w:type="dxa"/>
              <w:bottom w:w="60" w:type="dxa"/>
              <w:left w:w="70" w:type="dxa"/>
              <w:right w:w="70" w:type="dxa"/>
            </w:tcMar>
          </w:tcPr>
          <w:p>
            <w:r>
              <w:rPr>
                <w:color w:val="1E293B"/>
                <w:sz w:val="15"/>
              </w:rPr>
              <w:t>Test-Gated Safe PRs</w:t>
            </w:r>
          </w:p>
        </w:tc>
        <w:tc>
          <w:tcPr>
            <w:tcW w:type="dxa" w:w="1440"/>
            <w:shd w:fill="FFFFFF"/>
            <w:tcMar>
              <w:top w:w="60" w:type="dxa"/>
              <w:bottom w:w="60" w:type="dxa"/>
              <w:left w:w="70" w:type="dxa"/>
              <w:right w:w="70" w:type="dxa"/>
            </w:tcMar>
          </w:tcPr>
          <w:p>
            <w:r>
              <w:rPr>
                <w:b/>
                <w:color w:val="7C3AED"/>
                <w:sz w:val="15"/>
              </w:rPr>
              <w:t>YES</w:t>
            </w:r>
          </w:p>
        </w:tc>
        <w:tc>
          <w:tcPr>
            <w:tcW w:type="dxa" w:w="1152"/>
            <w:shd w:fill="FFFFFF"/>
            <w:tcMar>
              <w:top w:w="60" w:type="dxa"/>
              <w:bottom w:w="60" w:type="dxa"/>
              <w:left w:w="70" w:type="dxa"/>
              <w:right w:w="70" w:type="dxa"/>
            </w:tcMar>
          </w:tcPr>
          <w:p>
            <w:r>
              <w:rPr>
                <w:color w:val="1E293B"/>
                <w:sz w:val="15"/>
              </w:rPr>
              <w:t>Basic PR</w:t>
            </w:r>
          </w:p>
        </w:tc>
        <w:tc>
          <w:tcPr>
            <w:tcW w:type="dxa" w:w="1296"/>
            <w:shd w:fill="FFFFFF"/>
            <w:tcMar>
              <w:top w:w="60" w:type="dxa"/>
              <w:bottom w:w="60" w:type="dxa"/>
              <w:left w:w="70" w:type="dxa"/>
              <w:right w:w="70" w:type="dxa"/>
            </w:tcMar>
          </w:tcPr>
          <w:p>
            <w:r>
              <w:rPr>
                <w:color w:val="1E293B"/>
                <w:sz w:val="15"/>
              </w:rPr>
              <w:t>Alerts only</w:t>
            </w:r>
          </w:p>
        </w:tc>
        <w:tc>
          <w:tcPr>
            <w:tcW w:type="dxa" w:w="1008"/>
            <w:shd w:fill="FFFFFF"/>
            <w:tcMar>
              <w:top w:w="60" w:type="dxa"/>
              <w:bottom w:w="60" w:type="dxa"/>
              <w:left w:w="70" w:type="dxa"/>
              <w:right w:w="70" w:type="dxa"/>
            </w:tcMar>
          </w:tcPr>
          <w:p>
            <w:r>
              <w:rPr>
                <w:color w:val="1E293B"/>
                <w:sz w:val="15"/>
              </w:rPr>
              <w:t>No</w:t>
            </w:r>
          </w:p>
        </w:tc>
        <w:tc>
          <w:tcPr>
            <w:tcW w:type="dxa" w:w="1152"/>
            <w:shd w:fill="FFFFFF"/>
            <w:tcMar>
              <w:top w:w="60" w:type="dxa"/>
              <w:bottom w:w="60" w:type="dxa"/>
              <w:left w:w="70" w:type="dxa"/>
              <w:right w:w="70" w:type="dxa"/>
            </w:tcMar>
          </w:tcPr>
          <w:p>
            <w:r>
              <w:rPr>
                <w:color w:val="1E293B"/>
                <w:sz w:val="15"/>
              </w:rPr>
              <w:t>Manual</w:t>
            </w:r>
          </w:p>
        </w:tc>
        <w:tc>
          <w:tcPr>
            <w:tcW w:type="dxa" w:w="1152"/>
            <w:shd w:fill="FFFFFF"/>
            <w:tcMar>
              <w:top w:w="60" w:type="dxa"/>
              <w:bottom w:w="60" w:type="dxa"/>
              <w:left w:w="70" w:type="dxa"/>
              <w:right w:w="70" w:type="dxa"/>
            </w:tcMar>
          </w:tcPr>
          <w:p>
            <w:r>
              <w:rPr>
                <w:color w:val="1E293B"/>
                <w:sz w:val="15"/>
              </w:rPr>
              <w:t>No</w:t>
            </w:r>
          </w:p>
        </w:tc>
      </w:tr>
    </w:tbl>
    <w:p>
      <w:pPr>
        <w:spacing w:after="200"/>
      </w:pPr>
    </w:p>
    <w:p>
      <w:pPr>
        <w:keepNext/>
        <w:spacing w:before="360" w:after="120"/>
      </w:pPr>
      <w:r>
        <w:rPr>
          <w:rFonts w:ascii="Arial" w:hAnsi="Arial"/>
          <w:b/>
          <w:color w:val="0F172A"/>
          <w:sz w:val="30"/>
        </w:rPr>
        <w:t>11. Known Limitations &amp; Technical Honesty</w:t>
      </w:r>
    </w:p>
    <w:p>
      <w:r>
        <w:t>Presenting engineering boundaries openly demonstrates technical maturity to judges:</w:t>
      </w:r>
    </w:p>
    <w:p>
      <w:pPr>
        <w:pStyle w:val="ListBullet"/>
        <w:spacing w:before="40" w:after="40"/>
      </w:pPr>
      <w:r>
        <w:rPr>
          <w:b/>
          <w:color w:val="0F172A"/>
        </w:rPr>
        <w:t xml:space="preserve">Ecosystem Scope in v1: </w:t>
      </w:r>
      <w:r>
        <w:rPr>
          <w:color w:val="1E293B"/>
        </w:rPr>
        <w:t>Static AST parsing and reachability call-graph construction currently support JavaScript and TypeScript ecosystems. Python and Go are scheduled for Phase 3.</w:t>
      </w:r>
    </w:p>
    <w:p>
      <w:pPr>
        <w:pStyle w:val="ListBullet"/>
        <w:spacing w:before="40" w:after="40"/>
      </w:pPr>
      <w:r>
        <w:rPr>
          <w:b/>
          <w:color w:val="0F172A"/>
        </w:rPr>
        <w:t xml:space="preserve">Dynamic Reflection Boundaries: </w:t>
      </w:r>
      <w:r>
        <w:rPr>
          <w:color w:val="1E293B"/>
        </w:rPr>
        <w:t>Runtime dynamic evaluations (e.g. eval(), vm.runInContext(), dynamic computed require()) cannot be statically verified. VibeLens honestly categorizes these as 'Unknown' rather than claiming false reachability proofs.</w:t>
      </w:r>
    </w:p>
    <w:p>
      <w:pPr>
        <w:pStyle w:val="ListBullet"/>
        <w:spacing w:before="40" w:after="40"/>
      </w:pPr>
      <w:r>
        <w:rPr>
          <w:b/>
          <w:color w:val="0F172A"/>
        </w:rPr>
        <w:t xml:space="preserve">Single-Repo AST Scope: </w:t>
      </w:r>
      <w:r>
        <w:rPr>
          <w:color w:val="1E293B"/>
        </w:rPr>
        <w:t>Cross-repository microservice RPC traces are not resolved in the local CLI; analysis is bounded to the active application repository.</w:t>
      </w:r>
    </w:p>
    <w:p>
      <w:pPr>
        <w:keepNext/>
        <w:spacing w:before="360" w:after="120"/>
      </w:pPr>
      <w:r>
        <w:rPr>
          <w:rFonts w:ascii="Arial" w:hAnsi="Arial"/>
          <w:b/>
          <w:color w:val="0F172A"/>
          <w:sz w:val="30"/>
        </w:rPr>
        <w:t>12. Phased Roadmap &amp; Business Model</w:t>
      </w:r>
    </w:p>
    <w:p>
      <w:pPr>
        <w:keepNext/>
        <w:spacing w:before="240" w:after="80"/>
      </w:pPr>
      <w:r>
        <w:rPr>
          <w:rFonts w:ascii="Arial" w:hAnsi="Arial"/>
          <w:b/>
          <w:color w:val="2563EB"/>
          <w:sz w:val="24"/>
        </w:rPr>
        <w:t>12.1 Phased Product Roadmap</w:t>
      </w:r>
    </w:p>
    <w:p>
      <w:pPr>
        <w:pStyle w:val="ListBullet"/>
        <w:spacing w:before="40" w:after="40"/>
      </w:pPr>
      <w:r>
        <w:rPr>
          <w:b/>
          <w:color w:val="0F172A"/>
        </w:rPr>
        <w:t xml:space="preserve">Phase 1: MVP Core (Current): </w:t>
      </w:r>
      <w:r>
        <w:rPr>
          <w:color w:val="1E293B"/>
        </w:rPr>
        <w:t>Babel AST de-duplicator, 4-Tier ReachableSec engine, Cursor MCP server, Three.js 3D galaxy, Blast Radius HUD, and local test-gated PR generator.</w:t>
      </w:r>
    </w:p>
    <w:p>
      <w:pPr>
        <w:pStyle w:val="ListBullet"/>
        <w:spacing w:before="40" w:after="40"/>
      </w:pPr>
      <w:r>
        <w:rPr>
          <w:b/>
          <w:color w:val="0F172A"/>
        </w:rPr>
        <w:t xml:space="preserve">Phase 2: Aesthetic Compiler &amp; CI Gate (Q2 2026): </w:t>
      </w:r>
      <w:r>
        <w:rPr>
          <w:color w:val="1E293B"/>
        </w:rPr>
        <w:t>Automated CrashLens frontend reskinner with split-slider and GitHub Actions CI blocker for unreachable vs reachable CVE enforcement.</w:t>
      </w:r>
    </w:p>
    <w:p>
      <w:pPr>
        <w:pStyle w:val="ListBullet"/>
        <w:spacing w:before="40" w:after="40"/>
      </w:pPr>
      <w:r>
        <w:rPr>
          <w:b/>
          <w:color w:val="0F172A"/>
        </w:rPr>
        <w:t xml:space="preserve">Phase 3: Polyglot &amp; Team Observability (Q3 2026): </w:t>
      </w:r>
      <w:r>
        <w:rPr>
          <w:color w:val="1E293B"/>
        </w:rPr>
        <w:t>Python (Tree-Sitter) AST parser, Go support, and a self-hosted team dashboard for enterprise engineering organizations.</w:t>
      </w:r>
    </w:p>
    <w:p>
      <w:pPr>
        <w:keepNext/>
        <w:spacing w:before="240" w:after="80"/>
      </w:pPr>
      <w:r>
        <w:rPr>
          <w:rFonts w:ascii="Arial" w:hAnsi="Arial"/>
          <w:b/>
          <w:color w:val="0D9488"/>
          <w:sz w:val="24"/>
        </w:rPr>
        <w:t>12.2 Business &amp; Distribution Model</w:t>
      </w:r>
    </w:p>
    <w:p>
      <w:pPr>
        <w:pStyle w:val="ListBullet"/>
        <w:spacing w:before="40" w:after="40"/>
      </w:pPr>
      <w:r>
        <w:rPr>
          <w:b/>
          <w:color w:val="0F172A"/>
        </w:rPr>
        <w:t xml:space="preserve">Open-Core Developer Tier (Free): </w:t>
      </w:r>
      <w:r>
        <w:rPr>
          <w:color w:val="1E293B"/>
        </w:rPr>
        <w:t>100% free local CLI (`npx vibelens`), MCP server integration for Cursor/Claude, and local 3D visualization.</w:t>
      </w:r>
    </w:p>
    <w:p>
      <w:pPr>
        <w:pStyle w:val="ListBullet"/>
        <w:spacing w:before="40" w:after="40"/>
      </w:pPr>
      <w:r>
        <w:rPr>
          <w:b/>
          <w:color w:val="0F172A"/>
        </w:rPr>
        <w:t xml:space="preserve">Enterprise &amp; Team Tier (Paid SaaS): </w:t>
      </w:r>
      <w:r>
        <w:rPr>
          <w:color w:val="1E293B"/>
        </w:rPr>
        <w:t>$29/developer/month for centralized organization vulnerability telemetry, automated CI/CD PR gating, and compliance reachability audit logs.</w:t>
      </w:r>
    </w:p>
    <w:p>
      <w:pPr>
        <w:keepNext/>
        <w:spacing w:before="360" w:after="120"/>
      </w:pPr>
      <w:r>
        <w:rPr>
          <w:rFonts w:ascii="Arial" w:hAnsi="Arial"/>
          <w:b/>
          <w:color w:val="0F172A"/>
          <w:sz w:val="30"/>
        </w:rPr>
        <w:t>13. The Counter-Driven 3-Minute Live Hackathon Pitch Script</w:t>
      </w:r>
    </w:p>
    <w:p>
      <w:r>
        <w:t>The pitch presentation is calibrated around live quantitative counters on screen:</w:t>
      </w:r>
    </w:p>
    <w:p>
      <w:pPr>
        <w:keepNext/>
        <w:spacing w:before="200" w:after="80"/>
        <w:jc w:val="center"/>
      </w:pPr>
    </w:p>
    <w:p>
      <w:r>
        <w:drawing>
          <wp:inline xmlns:a="http://schemas.openxmlformats.org/drawingml/2006/main" xmlns:pic="http://schemas.openxmlformats.org/drawingml/2006/picture">
            <wp:extent cx="6035040" cy="3049283"/>
            <wp:docPr id="4" name="Picture 4"/>
            <wp:cNvGraphicFramePr>
              <a:graphicFrameLocks noChangeAspect="1"/>
            </wp:cNvGraphicFramePr>
            <a:graphic>
              <a:graphicData uri="http://schemas.openxmlformats.org/drawingml/2006/picture">
                <pic:pic>
                  <pic:nvPicPr>
                    <pic:cNvPr id="0" name="graphic4_counters_and_hook.png"/>
                    <pic:cNvPicPr/>
                  </pic:nvPicPr>
                  <pic:blipFill>
                    <a:blip r:embed="rId12"/>
                    <a:stretch>
                      <a:fillRect/>
                    </a:stretch>
                  </pic:blipFill>
                  <pic:spPr>
                    <a:xfrm>
                      <a:off x="0" y="0"/>
                      <a:ext cx="6035040" cy="3049283"/>
                    </a:xfrm>
                    <a:prstGeom prst="rect"/>
                  </pic:spPr>
                </pic:pic>
              </a:graphicData>
            </a:graphic>
          </wp:inline>
        </w:drawing>
      </w:r>
    </w:p>
    <w:p>
      <w:pPr>
        <w:spacing w:before="40" w:after="200"/>
        <w:jc w:val="center"/>
      </w:pPr>
      <w:r>
        <w:rPr>
          <w:i/>
          <w:color w:val="64748B"/>
          <w:sz w:val="17"/>
        </w:rPr>
        <w:t>Figure: Live Counter-Driven Hackathon Demo Layout: Highlighting Immediate Quantitative Value</w:t>
      </w:r>
    </w:p>
    <w:tbl>
      <w:tblPr>
        <w:tblW w:type="auto" w:w="0"/>
        <w:jc w:val="center"/>
        <w:tblLook w:firstColumn="1" w:firstRow="1" w:lastColumn="0" w:lastRow="0" w:noHBand="0" w:noVBand="1" w:val="04A0"/>
      </w:tblPr>
      <w:tblGrid>
        <w:gridCol w:w="3264"/>
        <w:gridCol w:w="3264"/>
        <w:gridCol w:w="3264"/>
      </w:tblGrid>
      <w:tr>
        <w:tc>
          <w:tcPr>
            <w:tcW w:type="dxa" w:w="3264"/>
            <w:shd w:fill="0F172A"/>
            <w:tcMar>
              <w:top w:w="90" w:type="dxa"/>
              <w:bottom w:w="90" w:type="dxa"/>
              <w:left w:w="100" w:type="dxa"/>
              <w:right w:w="100" w:type="dxa"/>
            </w:tcMar>
          </w:tcPr>
          <w:p>
            <w:r>
              <w:rPr>
                <w:b/>
                <w:color w:val="FFFFFF"/>
                <w:sz w:val="17"/>
              </w:rPr>
              <w:t>Timing</w:t>
            </w:r>
          </w:p>
        </w:tc>
        <w:tc>
          <w:tcPr>
            <w:tcW w:type="dxa" w:w="3264"/>
            <w:shd w:fill="0F172A"/>
            <w:tcMar>
              <w:top w:w="90" w:type="dxa"/>
              <w:bottom w:w="90" w:type="dxa"/>
              <w:left w:w="100" w:type="dxa"/>
              <w:right w:w="100" w:type="dxa"/>
            </w:tcMar>
          </w:tcPr>
          <w:p>
            <w:r>
              <w:rPr>
                <w:b/>
                <w:color w:val="FFFFFF"/>
                <w:sz w:val="17"/>
              </w:rPr>
              <w:t>Spoken Script to Judges</w:t>
            </w:r>
          </w:p>
        </w:tc>
        <w:tc>
          <w:tcPr>
            <w:tcW w:type="dxa" w:w="3264"/>
            <w:shd w:fill="0F172A"/>
            <w:tcMar>
              <w:top w:w="90" w:type="dxa"/>
              <w:bottom w:w="90" w:type="dxa"/>
              <w:left w:w="100" w:type="dxa"/>
              <w:right w:w="100" w:type="dxa"/>
            </w:tcMar>
          </w:tcPr>
          <w:p>
            <w:r>
              <w:rPr>
                <w:b/>
                <w:color w:val="FFFFFF"/>
                <w:sz w:val="17"/>
              </w:rPr>
              <w:t>Live Visual Action on Screen</w:t>
            </w:r>
          </w:p>
        </w:tc>
      </w:tr>
      <w:tr>
        <w:tc>
          <w:tcPr>
            <w:tcW w:type="dxa" w:w="1872"/>
            <w:shd w:fill="F1F5F9"/>
            <w:tcMar>
              <w:top w:w="80" w:type="dxa"/>
              <w:bottom w:w="80" w:type="dxa"/>
              <w:left w:w="90" w:type="dxa"/>
              <w:right w:w="90" w:type="dxa"/>
            </w:tcMar>
          </w:tcPr>
          <w:p>
            <w:r>
              <w:rPr>
                <w:b/>
                <w:color w:val="7C3AED"/>
                <w:sz w:val="16"/>
              </w:rPr>
              <w:t>0:00 - 0:40</w:t>
              <w:br/>
              <w:t>(The Hook &amp; Pain)</w:t>
            </w:r>
          </w:p>
        </w:tc>
        <w:tc>
          <w:tcPr>
            <w:tcW w:type="dxa" w:w="4608"/>
            <w:shd w:fill="F1F5F9"/>
            <w:tcMar>
              <w:top w:w="80" w:type="dxa"/>
              <w:bottom w:w="80" w:type="dxa"/>
              <w:left w:w="90" w:type="dxa"/>
              <w:right w:w="90" w:type="dxa"/>
            </w:tcMar>
          </w:tcPr>
          <w:p>
            <w:r>
              <w:rPr>
                <w:color w:val="1E293B"/>
                <w:sz w:val="16"/>
              </w:rPr>
              <w:t>"Snyk tells you what's vulnerable. VibeLens tells you what's actually reachable, and uses MCP tools to stop your AI from creating the mess in the first place. When developers vibe-code, codebases become toxic with duplicate functions and 40 false-alarm CVEs."</w:t>
            </w:r>
          </w:p>
        </w:tc>
        <w:tc>
          <w:tcPr>
            <w:tcW w:type="dxa" w:w="3312"/>
            <w:shd w:fill="F1F5F9"/>
            <w:tcMar>
              <w:top w:w="80" w:type="dxa"/>
              <w:bottom w:w="80" w:type="dxa"/>
              <w:left w:w="90" w:type="dxa"/>
              <w:right w:w="90" w:type="dxa"/>
            </w:tcMar>
          </w:tcPr>
          <w:p>
            <w:r>
              <w:rPr>
                <w:color w:val="1E293B"/>
                <w:sz w:val="16"/>
              </w:rPr>
              <w:t>Paste demo repo. Conventional scanner alert counter flashes: '35 CRITICAL CVEs // 48,200 CONTEXT TOKENS'.</w:t>
            </w:r>
          </w:p>
        </w:tc>
      </w:tr>
      <w:tr>
        <w:tc>
          <w:tcPr>
            <w:tcW w:type="dxa" w:w="1872"/>
            <w:shd w:fill="FFFFFF"/>
            <w:tcMar>
              <w:top w:w="80" w:type="dxa"/>
              <w:bottom w:w="80" w:type="dxa"/>
              <w:left w:w="90" w:type="dxa"/>
              <w:right w:w="90" w:type="dxa"/>
            </w:tcMar>
          </w:tcPr>
          <w:p>
            <w:r>
              <w:rPr>
                <w:b/>
                <w:color w:val="7C3AED"/>
                <w:sz w:val="16"/>
              </w:rPr>
              <w:t>0:40 - 1:20</w:t>
              <w:br/>
              <w:t>(The Counter Drop)</w:t>
            </w:r>
          </w:p>
        </w:tc>
        <w:tc>
          <w:tcPr>
            <w:tcW w:type="dxa" w:w="4608"/>
            <w:shd w:fill="FFFFFF"/>
            <w:tcMar>
              <w:top w:w="80" w:type="dxa"/>
              <w:bottom w:w="80" w:type="dxa"/>
              <w:left w:w="90" w:type="dxa"/>
              <w:right w:w="90" w:type="dxa"/>
            </w:tcMar>
          </w:tcPr>
          <w:p>
            <w:r>
              <w:rPr>
                <w:color w:val="1E293B"/>
                <w:sz w:val="16"/>
              </w:rPr>
              <w:t>"Watch our 3D X-Ray. Out of 35 scary alerts, 31 are in dead code our app never calls. Watch the counter: 35 alerts drops to 1 REAL reachable exploit. The fake alerts dissolve into green shields."</w:t>
            </w:r>
          </w:p>
        </w:tc>
        <w:tc>
          <w:tcPr>
            <w:tcW w:type="dxa" w:w="3312"/>
            <w:shd w:fill="FFFFFF"/>
            <w:tcMar>
              <w:top w:w="80" w:type="dxa"/>
              <w:bottom w:w="80" w:type="dxa"/>
              <w:left w:w="90" w:type="dxa"/>
              <w:right w:w="90" w:type="dxa"/>
            </w:tcMar>
          </w:tcPr>
          <w:p>
            <w:r>
              <w:rPr>
                <w:color w:val="1E293B"/>
                <w:sz w:val="16"/>
              </w:rPr>
              <w:t>Click Reachability Audit. Counter drops live on screen: 35 ➔ 1 Real CVE. 3D red laser illuminates the exact call path to lodash.template.</w:t>
            </w:r>
          </w:p>
        </w:tc>
      </w:tr>
      <w:tr>
        <w:tc>
          <w:tcPr>
            <w:tcW w:type="dxa" w:w="1872"/>
            <w:shd w:fill="F1F5F9"/>
            <w:tcMar>
              <w:top w:w="80" w:type="dxa"/>
              <w:bottom w:w="80" w:type="dxa"/>
              <w:left w:w="90" w:type="dxa"/>
              <w:right w:w="90" w:type="dxa"/>
            </w:tcMar>
          </w:tcPr>
          <w:p>
            <w:r>
              <w:rPr>
                <w:b/>
                <w:color w:val="7C3AED"/>
                <w:sz w:val="16"/>
              </w:rPr>
              <w:t>1:20 - 2:00</w:t>
              <w:br/>
              <w:t>(Blast Radius &amp; MCP)</w:t>
            </w:r>
          </w:p>
        </w:tc>
        <w:tc>
          <w:tcPr>
            <w:tcW w:type="dxa" w:w="4608"/>
            <w:shd w:fill="F1F5F9"/>
            <w:tcMar>
              <w:top w:w="80" w:type="dxa"/>
              <w:bottom w:w="80" w:type="dxa"/>
              <w:left w:w="90" w:type="dxa"/>
              <w:right w:w="90" w:type="dxa"/>
            </w:tcMar>
          </w:tcPr>
          <w:p>
            <w:r>
              <w:rPr>
                <w:color w:val="1E293B"/>
                <w:sz w:val="16"/>
              </w:rPr>
              <w:t>"What if you want to delete a file? Click any node: our Blast Radius HUD shows exactly which 4 files break. And Cursor calls our MCP server before writing, preventing duplicate slop."</w:t>
            </w:r>
          </w:p>
        </w:tc>
        <w:tc>
          <w:tcPr>
            <w:tcW w:type="dxa" w:w="3312"/>
            <w:shd w:fill="F1F5F9"/>
            <w:tcMar>
              <w:top w:w="80" w:type="dxa"/>
              <w:bottom w:w="80" w:type="dxa"/>
              <w:left w:w="90" w:type="dxa"/>
              <w:right w:w="90" w:type="dxa"/>
            </w:tcMar>
          </w:tcPr>
          <w:p>
            <w:r>
              <w:rPr>
                <w:color w:val="1E293B"/>
                <w:sz w:val="16"/>
              </w:rPr>
              <w:t>Click `auth.ts`: Blast Radius glows in orange. Show terminal MCP tool executing `find_existing_utility` to block duplication.</w:t>
            </w:r>
          </w:p>
        </w:tc>
      </w:tr>
      <w:tr>
        <w:tc>
          <w:tcPr>
            <w:tcW w:type="dxa" w:w="1872"/>
            <w:shd w:fill="FFFFFF"/>
            <w:tcMar>
              <w:top w:w="80" w:type="dxa"/>
              <w:bottom w:w="80" w:type="dxa"/>
              <w:left w:w="90" w:type="dxa"/>
              <w:right w:w="90" w:type="dxa"/>
            </w:tcMar>
          </w:tcPr>
          <w:p>
            <w:r>
              <w:rPr>
                <w:b/>
                <w:color w:val="7C3AED"/>
                <w:sz w:val="16"/>
              </w:rPr>
              <w:t>2:00 - 3:00</w:t>
              <w:br/>
              <w:t>(Safe Test &amp; PR)</w:t>
            </w:r>
          </w:p>
        </w:tc>
        <w:tc>
          <w:tcPr>
            <w:tcW w:type="dxa" w:w="4608"/>
            <w:shd w:fill="FFFFFF"/>
            <w:tcMar>
              <w:top w:w="80" w:type="dxa"/>
              <w:bottom w:w="80" w:type="dxa"/>
              <w:left w:w="90" w:type="dxa"/>
              <w:right w:w="90" w:type="dxa"/>
            </w:tcMar>
          </w:tcPr>
          <w:p>
            <w:r>
              <w:rPr>
                <w:color w:val="1E293B"/>
                <w:sz w:val="16"/>
              </w:rPr>
              <w:t>"Finally, we don't break code. We preview the diff, run the repo's native tests, and only then open a clean PR. Token counter drops: 48k ➔ 29k tokens saved. Zero chaos, verified code."</w:t>
            </w:r>
          </w:p>
        </w:tc>
        <w:tc>
          <w:tcPr>
            <w:tcW w:type="dxa" w:w="3312"/>
            <w:shd w:fill="FFFFFF"/>
            <w:tcMar>
              <w:top w:w="80" w:type="dxa"/>
              <w:bottom w:w="80" w:type="dxa"/>
              <w:left w:w="90" w:type="dxa"/>
              <w:right w:w="90" w:type="dxa"/>
            </w:tcMar>
          </w:tcPr>
          <w:p>
            <w:r>
              <w:rPr>
                <w:color w:val="1E293B"/>
                <w:sz w:val="16"/>
              </w:rPr>
              <w:t>Click 'De-Slop &amp; Secure'. Automated test runner outputs green checkmarks, and GitHub PR #14 opens live on screen.</w:t>
            </w:r>
          </w:p>
        </w:tc>
      </w:tr>
    </w:tbl>
    <w:p>
      <w:pPr>
        <w:spacing w:after="200"/>
      </w:pPr>
    </w:p>
    <w:p>
      <w:pPr>
        <w:keepNext/>
        <w:spacing w:before="240" w:after="80"/>
      </w:pPr>
      <w:r>
        <w:rPr>
          <w:rFonts w:ascii="Arial" w:hAnsi="Arial"/>
          <w:b/>
          <w:color w:val="0F172A"/>
          <w:sz w:val="24"/>
        </w:rPr>
        <w:t>13.1 Tailored Closing Pitch for Prasunex Innovathon 2026</w:t>
      </w:r>
    </w:p>
    <w:p>
      <w:r>
        <w:t>Prasunex Innovathon prioritizes practical innovation, digital transformation, and working prototypes with real-world commercial impact. Our closing pitch addresses all four official judging tracks directly:</w:t>
      </w:r>
    </w:p>
    <w:p>
      <w:pPr>
        <w:pStyle w:val="ListBullet"/>
        <w:spacing w:before="40" w:after="40"/>
      </w:pPr>
      <w:r>
        <w:rPr>
          <w:b/>
          <w:color w:val="0F172A"/>
        </w:rPr>
        <w:t xml:space="preserve">AI/ML &amp; Automation Track: </w:t>
      </w:r>
      <w:r>
        <w:rPr>
          <w:color w:val="1E293B"/>
        </w:rPr>
        <w:t>"VibeLens uses intelligent Model Context Protocol (MCP) tooling and AST semantic fingerprinting to automate codebase hygiene and dependency validation before code is even written."</w:t>
      </w:r>
    </w:p>
    <w:p>
      <w:pPr>
        <w:pStyle w:val="ListBullet"/>
        <w:spacing w:before="40" w:after="40"/>
      </w:pPr>
      <w:r>
        <w:rPr>
          <w:b/>
          <w:color w:val="0F172A"/>
        </w:rPr>
        <w:t xml:space="preserve">Web &amp; Cloud Development Track: </w:t>
      </w:r>
      <w:r>
        <w:rPr>
          <w:color w:val="1E293B"/>
        </w:rPr>
        <w:t>"Built with production-grade Next.js 15, React 19, Supabase PostgreSQL, Drizzle ORM, Clerk auth, and Upstash Redis—demonstrating modern full-stack TypeScript engineering with zero legacy baggage."</w:t>
      </w:r>
    </w:p>
    <w:p>
      <w:pPr>
        <w:pStyle w:val="ListBullet"/>
        <w:spacing w:before="40" w:after="40"/>
      </w:pPr>
      <w:r>
        <w:rPr>
          <w:b/>
          <w:color w:val="0F172A"/>
        </w:rPr>
        <w:t xml:space="preserve">Digital Transformation &amp; Business ROI: </w:t>
      </w:r>
      <w:r>
        <w:rPr>
          <w:color w:val="1E293B"/>
        </w:rPr>
        <w:t>"VibeLens transforms the chaotic economics of AI-assisted engineering: cutting LLM prompt token expenses by 39.6% and saving engineering teams hundreds of wasted DevSecOps false-positive triage hours."</w:t>
      </w:r>
    </w:p>
    <w:p>
      <w:pPr>
        <w:pStyle w:val="ListBullet"/>
        <w:spacing w:before="40" w:after="40"/>
      </w:pPr>
      <w:r>
        <w:rPr>
          <w:b/>
          <w:color w:val="0F172A"/>
        </w:rPr>
        <w:t xml:space="preserve">The Winning Closing Line: </w:t>
      </w:r>
      <w:r>
        <w:rPr>
          <w:color w:val="1E293B"/>
        </w:rPr>
        <w:t>"Prasunex challenges us to build solutions for real-world digital transformation. VibeLens takes the single biggest bottleneck of the AI coding revolution—codebase slop and security paralysis—and solves it with verified compiler science."</w:t>
      </w:r>
    </w:p>
    <w:p>
      <w:pPr>
        <w:keepNext/>
        <w:spacing w:before="240" w:after="80"/>
      </w:pPr>
      <w:r>
        <w:rPr>
          <w:rFonts w:ascii="Arial" w:hAnsi="Arial"/>
          <w:b/>
          <w:color w:val="D97706"/>
          <w:sz w:val="24"/>
        </w:rPr>
        <w:t>13.2 Prepared Jury Q&amp;A Responses</w:t>
      </w:r>
    </w:p>
    <w:p>
      <w:pPr>
        <w:pStyle w:val="ListBullet"/>
        <w:spacing w:before="40" w:after="40"/>
      </w:pPr>
      <w:r>
        <w:rPr>
          <w:b/>
          <w:color w:val="0F172A"/>
        </w:rPr>
        <w:t xml:space="preserve">Q: Why not just use Snyk or Dependabot?: </w:t>
      </w:r>
      <w:r>
        <w:rPr>
          <w:color w:val="1E293B"/>
        </w:rPr>
        <w:t>A: "Snyk inspects package manifests, not execution paths. It alerts on package presence, causing 85% false-positive fatigue. VibeLens operates on the AST call-graph, proving whether an exploit path is mathematically reachable, while actively preventing slop via MCP before code is written."</w:t>
      </w:r>
    </w:p>
    <w:p>
      <w:pPr>
        <w:pStyle w:val="ListBullet"/>
        <w:spacing w:before="40" w:after="40"/>
      </w:pPr>
      <w:r>
        <w:rPr>
          <w:b/>
          <w:color w:val="0F172A"/>
        </w:rPr>
        <w:t xml:space="preserve">Q: What if reachability misses a dynamic call?: </w:t>
      </w:r>
      <w:r>
        <w:rPr>
          <w:color w:val="1E293B"/>
        </w:rPr>
        <w:t>A: "That is why we built our 4-tier confidence model. Dynamic require() and eval() are never falsely marked Unreachable; they are classified as 'Unknown', maintaining 100% security integrity."</w:t>
      </w:r>
    </w:p>
    <w:p>
      <w:pPr>
        <w:pStyle w:val="ListBullet"/>
        <w:spacing w:before="40" w:after="40"/>
      </w:pPr>
      <w:r>
        <w:rPr>
          <w:b/>
          <w:color w:val="0F172A"/>
        </w:rPr>
        <w:t xml:space="preserve">Q: Why is your tech stack Next.js, Supabase, Clerk, Drizzle, and Upstash?: </w:t>
      </w:r>
      <w:r>
        <w:rPr>
          <w:color w:val="1E293B"/>
        </w:rPr>
        <w:t>A: "This is the gold-standard modern TypeScript stack: Clerk provides instant developer auth and dev keys; Supabase PostgreSQL with Drizzle ORM provides type-safe persistence for audit histories; Upstash Redis caches global CVE lookups for sub-5ms latency; and Three.js renders the 3D topology radar in real time."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