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0F7A6E"/>
          <w:sz w:val="64"/>
          <w:szCs w:val="64"/>
        </w:rPr>
        <w:t xml:space="preserve">AIOS</w:t>
      </w:r>
    </w:p>
    <w:p>
      <w:pPr>
        <w:spacing w:after="400" w:before="100"/>
        <w:jc w:val="center"/>
      </w:pPr>
      <w:r>
        <w:rPr>
          <w:color w:val="5B6470"/>
          <w:sz w:val="26"/>
          <w:szCs w:val="26"/>
        </w:rPr>
        <w:t xml:space="preserve">Academic Intelligence Operating System</w:t>
      </w:r>
    </w:p>
    <w:p>
      <w:pPr>
        <w:spacing w:before="300"/>
        <w:jc w:val="center"/>
      </w:pPr>
      <w:r>
        <w:rPr>
          <w:b/>
          <w:bCs/>
          <w:color w:val="1B2A4A"/>
          <w:sz w:val="40"/>
          <w:szCs w:val="40"/>
        </w:rPr>
        <w:t xml:space="preserve">Product Requirements Document</w:t>
      </w:r>
    </w:p>
    <w:p>
      <w:pPr>
        <w:spacing w:after="600" w:before="120"/>
        <w:jc w:val="center"/>
      </w:pPr>
      <w:r>
        <w:rPr>
          <w:i/>
          <w:iCs/>
          <w:color w:val="5B6470"/>
          <w:sz w:val="22"/>
          <w:szCs w:val="22"/>
        </w:rPr>
        <w:t xml:space="preserve">What we are building, for whom, and why</w:t>
      </w:r>
    </w:p>
    <w:p>
      <w:pPr>
        <w:spacing w:before="800"/>
        <w:jc w:val="center"/>
      </w:pPr>
      <w:r>
        <w:rPr>
          <w:color w:val="5B6470"/>
          <w:sz w:val="19"/>
          <w:szCs w:val="19"/>
        </w:rPr>
        <w:t xml:space="preserve">Version 1.0  |  Prepared for Founder &amp; Product Team  |  Coaching Institutes First, Schools Later</w:t>
      </w:r>
    </w:p>
    <w:p>
      <w:r>
        <w:br w:type="page"/>
      </w:r>
    </w:p>
    <w:p>
      <w:pPr>
        <w:pStyle w:val="Heading1"/>
        <w:pBdr>
          <w:bottom w:val="single" w:color="0F7A6E" w:sz="6" w:space="4"/>
        </w:pBdr>
        <w:spacing w:after="160" w:before="320"/>
      </w:pPr>
      <w:r>
        <w:rPr>
          <w:b/>
          <w:bCs/>
          <w:color w:val="1B2A4A"/>
          <w:sz w:val="30"/>
          <w:szCs w:val="30"/>
        </w:rPr>
        <w:t xml:space="preserve">1. Problem Statement</w:t>
      </w:r>
    </w:p>
    <w:p>
      <w:pPr>
        <w:spacing w:after="120" w:line="300"/>
      </w:pPr>
      <w:r>
        <w:rPr>
          <w:i w:val="false"/>
          <w:iCs w:val="false"/>
          <w:color w:val="232323"/>
          <w:sz w:val="21"/>
          <w:szCs w:val="21"/>
        </w:rPr>
        <w:t xml:space="preserve">Coaching institutes and schools already run tests constantly — unit tests, weekly tests, monthly tests, mock exams. The problem is not the lack of testing. The problem is that the learning value of every test disappears the moment it is over.</w:t>
      </w:r>
    </w:p>
    <w:p>
      <w:pPr>
        <w:spacing w:after="120" w:line="300"/>
      </w:pPr>
      <w:r>
        <w:rPr>
          <w:i w:val="false"/>
          <w:iCs w:val="false"/>
          <w:color w:val="232323"/>
          <w:sz w:val="21"/>
          <w:szCs w:val="21"/>
        </w:rPr>
        <w:t xml:space="preserve">Marks get written in a register or a spreadsheet. A student's weak topic is known to one teacher, for one week, and then forgotten. No one connects last month's mistake to this month's paper. No one tells the student what to study next. No one tells the admin which batch or which topic is silently failing across the institute.</w:t>
      </w:r>
    </w:p>
    <w:p>
      <w:pPr>
        <w:spacing w:after="120" w:line="300"/>
      </w:pPr>
      <w:r>
        <w:rPr>
          <w:i w:val="false"/>
          <w:iCs w:val="false"/>
          <w:color w:val="232323"/>
          <w:sz w:val="21"/>
          <w:szCs w:val="21"/>
        </w:rPr>
        <w:t xml:space="preserve">This platform exists to close that gap. It turns every test into structured data, and turns that data into a clear next step for the student, the teacher, and the institute.</w:t>
      </w:r>
    </w:p>
    <w:p>
      <w:pPr>
        <w:spacing w:after="90"/>
      </w:pPr>
      <w:r>
        <w:rPr>
          <w:b/>
          <w:bCs/>
          <w:color w:val="1B2A4A"/>
          <w:sz w:val="21"/>
          <w:szCs w:val="21"/>
        </w:rPr>
        <w:t xml:space="preserve">Who faces this problem: </w:t>
      </w:r>
      <w:r>
        <w:rPr>
          <w:color w:val="232323"/>
          <w:sz w:val="21"/>
          <w:szCs w:val="21"/>
        </w:rPr>
        <w:t xml:space="preserve">Coaching institute owners and academic heads who cannot see where their institute is actually weak; teachers who spend hours evaluating but get no help turning marks into action; students who know their score but not their next step; and parents who only see a number with no explanation.</w:t>
      </w:r>
    </w:p>
    <w:p>
      <w:pPr>
        <w:spacing w:after="90"/>
      </w:pPr>
      <w:r>
        <w:rPr>
          <w:b/>
          <w:bCs/>
          <w:color w:val="1B2A4A"/>
          <w:sz w:val="21"/>
          <w:szCs w:val="21"/>
        </w:rPr>
        <w:t xml:space="preserve">Why it matters: </w:t>
      </w:r>
      <w:r>
        <w:rPr>
          <w:color w:val="232323"/>
          <w:sz w:val="21"/>
          <w:szCs w:val="21"/>
        </w:rPr>
        <w:t xml:space="preserve">In coaching, results and retention decide whether a student stays enrolled next term. An institute that can show measurable improvement — not just marks — has a real business advantage. Right now that improvement loop is invisible and manual.</w:t>
      </w:r>
    </w:p>
    <w:p>
      <w:pPr>
        <w:pStyle w:val="Heading1"/>
        <w:pBdr>
          <w:bottom w:val="single" w:color="0F7A6E" w:sz="6" w:space="4"/>
        </w:pBdr>
        <w:spacing w:after="160" w:before="320"/>
      </w:pPr>
      <w:r>
        <w:rPr>
          <w:b/>
          <w:bCs/>
          <w:color w:val="1B2A4A"/>
          <w:sz w:val="30"/>
          <w:szCs w:val="30"/>
        </w:rPr>
        <w:t xml:space="preserve">2. Target Users</w:t>
      </w:r>
    </w:p>
    <w:tbl>
      <w:tblPr>
        <w:tblW w:type="dxa" w:w="10000"/>
        <w:tblBorders>
          <w:top w:val="single" w:color="D8DCE1" w:sz="2"/>
          <w:left w:val="single" w:color="D8DCE1" w:sz="2"/>
          <w:bottom w:val="single" w:color="D8DCE1" w:sz="2"/>
          <w:right w:val="single" w:color="D8DCE1" w:sz="2"/>
          <w:insideH w:val="single" w:color="D8DCE1" w:sz="2"/>
          <w:insideV w:val="single" w:color="D8DCE1" w:sz="2"/>
        </w:tblBorders>
      </w:tblPr>
      <w:tblGrid>
        <w:gridCol w:w="1600"/>
        <w:gridCol w:w="4400"/>
        <w:gridCol w:w="4000"/>
      </w:tblGrid>
      <w:tr>
        <w:trPr>
          <w:tblHeader/>
        </w:trPr>
        <w:tc>
          <w:tcPr>
            <w:tcW w:type="dxa" w:w="1600"/>
            <w:shd w:fill="0F7A6E" w:val="clear"/>
            <w:tcMar>
              <w:top w:type="dxa" w:w="80"/>
              <w:left w:type="dxa" w:w="100"/>
              <w:bottom w:type="dxa" w:w="80"/>
              <w:right w:type="dxa" w:w="100"/>
            </w:tcMar>
            <w:vAlign w:val="center"/>
          </w:tcPr>
          <w:p>
            <w:r>
              <w:rPr>
                <w:b/>
                <w:bCs/>
                <w:color w:val="FFFFFF"/>
                <w:sz w:val="19"/>
                <w:szCs w:val="19"/>
              </w:rPr>
              <w:t xml:space="preserve">User</w:t>
            </w:r>
          </w:p>
        </w:tc>
        <w:tc>
          <w:tcPr>
            <w:tcW w:type="dxa" w:w="4400"/>
            <w:shd w:fill="0F7A6E" w:val="clear"/>
            <w:tcMar>
              <w:top w:type="dxa" w:w="80"/>
              <w:left w:type="dxa" w:w="100"/>
              <w:bottom w:type="dxa" w:w="80"/>
              <w:right w:type="dxa" w:w="100"/>
            </w:tcMar>
            <w:vAlign w:val="center"/>
          </w:tcPr>
          <w:p>
            <w:r>
              <w:rPr>
                <w:b/>
                <w:bCs/>
                <w:color w:val="FFFFFF"/>
                <w:sz w:val="19"/>
                <w:szCs w:val="19"/>
              </w:rPr>
              <w:t xml:space="preserve">Who they are</w:t>
            </w:r>
          </w:p>
        </w:tc>
        <w:tc>
          <w:tcPr>
            <w:tcW w:type="dxa" w:w="4000"/>
            <w:shd w:fill="0F7A6E" w:val="clear"/>
            <w:tcMar>
              <w:top w:type="dxa" w:w="80"/>
              <w:left w:type="dxa" w:w="100"/>
              <w:bottom w:type="dxa" w:w="80"/>
              <w:right w:type="dxa" w:w="100"/>
            </w:tcMar>
            <w:vAlign w:val="center"/>
          </w:tcPr>
          <w:p>
            <w:r>
              <w:rPr>
                <w:b/>
                <w:bCs/>
                <w:color w:val="FFFFFF"/>
                <w:sz w:val="19"/>
                <w:szCs w:val="19"/>
              </w:rPr>
              <w:t xml:space="preserve">Core frustration today</w:t>
            </w:r>
          </w:p>
        </w:tc>
      </w:tr>
      <w:tr>
        <w:tc>
          <w:tcPr>
            <w:tcW w:type="dxa" w:w="1600"/>
            <w:tcMar>
              <w:top w:type="dxa" w:w="80"/>
              <w:left w:type="dxa" w:w="100"/>
              <w:bottom w:type="dxa" w:w="80"/>
              <w:right w:type="dxa" w:w="100"/>
            </w:tcMar>
            <w:vAlign w:val="center"/>
          </w:tcPr>
          <w:p>
            <w:r>
              <w:rPr>
                <w:b w:val="false"/>
                <w:bCs w:val="false"/>
                <w:color w:val="232323"/>
                <w:sz w:val="19"/>
                <w:szCs w:val="19"/>
              </w:rPr>
              <w:t xml:space="preserve">Student</w:t>
            </w:r>
          </w:p>
        </w:tc>
        <w:tc>
          <w:tcPr>
            <w:tcW w:type="dxa" w:w="4400"/>
            <w:tcMar>
              <w:top w:type="dxa" w:w="80"/>
              <w:left w:type="dxa" w:w="100"/>
              <w:bottom w:type="dxa" w:w="80"/>
              <w:right w:type="dxa" w:w="100"/>
            </w:tcMar>
            <w:vAlign w:val="center"/>
          </w:tcPr>
          <w:p>
            <w:r>
              <w:rPr>
                <w:b w:val="false"/>
                <w:bCs w:val="false"/>
                <w:color w:val="232323"/>
                <w:sz w:val="19"/>
                <w:szCs w:val="19"/>
              </w:rPr>
              <w:t xml:space="preserve">Ages 10–18, studying in a coaching institute or school. Comfortable with basic apps (WhatsApp, YouTube), not necessarily tech-savvy. Wants to know: what should I study today, and am I improving?</w:t>
            </w:r>
          </w:p>
        </w:tc>
        <w:tc>
          <w:tcPr>
            <w:tcW w:type="dxa" w:w="4000"/>
            <w:tcMar>
              <w:top w:type="dxa" w:w="80"/>
              <w:left w:type="dxa" w:w="100"/>
              <w:bottom w:type="dxa" w:w="80"/>
              <w:right w:type="dxa" w:w="100"/>
            </w:tcMar>
            <w:vAlign w:val="center"/>
          </w:tcPr>
          <w:p>
            <w:r>
              <w:rPr>
                <w:b w:val="false"/>
                <w:bCs w:val="false"/>
                <w:color w:val="232323"/>
                <w:sz w:val="19"/>
                <w:szCs w:val="19"/>
              </w:rPr>
              <w:t xml:space="preserve">Marks feel like a verdict with no explanation. No clear plan after a bad test.</w:t>
            </w:r>
          </w:p>
        </w:tc>
      </w:tr>
      <w:tr>
        <w:tc>
          <w:tcPr>
            <w:tcW w:type="dxa" w:w="1600"/>
            <w:shd w:fill="EAF2F1" w:val="clear"/>
            <w:tcMar>
              <w:top w:type="dxa" w:w="80"/>
              <w:left w:type="dxa" w:w="100"/>
              <w:bottom w:type="dxa" w:w="80"/>
              <w:right w:type="dxa" w:w="100"/>
            </w:tcMar>
            <w:vAlign w:val="center"/>
          </w:tcPr>
          <w:p>
            <w:r>
              <w:rPr>
                <w:b w:val="false"/>
                <w:bCs w:val="false"/>
                <w:color w:val="232323"/>
                <w:sz w:val="19"/>
                <w:szCs w:val="19"/>
              </w:rPr>
              <w:t xml:space="preserve">Teacher</w:t>
            </w:r>
          </w:p>
        </w:tc>
        <w:tc>
          <w:tcPr>
            <w:tcW w:type="dxa" w:w="4400"/>
            <w:shd w:fill="EAF2F1" w:val="clear"/>
            <w:tcMar>
              <w:top w:type="dxa" w:w="80"/>
              <w:left w:type="dxa" w:w="100"/>
              <w:bottom w:type="dxa" w:w="80"/>
              <w:right w:type="dxa" w:w="100"/>
            </w:tcMar>
            <w:vAlign w:val="center"/>
          </w:tcPr>
          <w:p>
            <w:r>
              <w:rPr>
                <w:b w:val="false"/>
                <w:bCs w:val="false"/>
                <w:color w:val="232323"/>
                <w:sz w:val="19"/>
                <w:szCs w:val="19"/>
              </w:rPr>
              <w:t xml:space="preserve">Subject teacher managing 1–6 batches. Moderate tech comfort, very low patience for extra data-entry. Wants to spend time teaching and evaluating, not filling forms.</w:t>
            </w:r>
          </w:p>
        </w:tc>
        <w:tc>
          <w:tcPr>
            <w:tcW w:type="dxa" w:w="4000"/>
            <w:shd w:fill="EAF2F1" w:val="clear"/>
            <w:tcMar>
              <w:top w:type="dxa" w:w="80"/>
              <w:left w:type="dxa" w:w="100"/>
              <w:bottom w:type="dxa" w:w="80"/>
              <w:right w:type="dxa" w:w="100"/>
            </w:tcMar>
            <w:vAlign w:val="center"/>
          </w:tcPr>
          <w:p>
            <w:r>
              <w:rPr>
                <w:b w:val="false"/>
                <w:bCs w:val="false"/>
                <w:color w:val="232323"/>
                <w:sz w:val="19"/>
                <w:szCs w:val="19"/>
              </w:rPr>
              <w:t xml:space="preserve">Manual mark entry, manual paper-making, and no easy way to see which topics the whole class is struggling with.</w:t>
            </w:r>
          </w:p>
        </w:tc>
      </w:tr>
      <w:tr>
        <w:tc>
          <w:tcPr>
            <w:tcW w:type="dxa" w:w="1600"/>
            <w:tcMar>
              <w:top w:type="dxa" w:w="80"/>
              <w:left w:type="dxa" w:w="100"/>
              <w:bottom w:type="dxa" w:w="80"/>
              <w:right w:type="dxa" w:w="100"/>
            </w:tcMar>
            <w:vAlign w:val="center"/>
          </w:tcPr>
          <w:p>
            <w:r>
              <w:rPr>
                <w:b w:val="false"/>
                <w:bCs w:val="false"/>
                <w:color w:val="232323"/>
                <w:sz w:val="19"/>
                <w:szCs w:val="19"/>
              </w:rPr>
              <w:t xml:space="preserve">Admin / Academic Head</w:t>
            </w:r>
          </w:p>
        </w:tc>
        <w:tc>
          <w:tcPr>
            <w:tcW w:type="dxa" w:w="4400"/>
            <w:tcMar>
              <w:top w:type="dxa" w:w="80"/>
              <w:left w:type="dxa" w:w="100"/>
              <w:bottom w:type="dxa" w:w="80"/>
              <w:right w:type="dxa" w:w="100"/>
            </w:tcMar>
            <w:vAlign w:val="center"/>
          </w:tcPr>
          <w:p>
            <w:r>
              <w:rPr>
                <w:b w:val="false"/>
                <w:bCs w:val="false"/>
                <w:color w:val="232323"/>
                <w:sz w:val="19"/>
                <w:szCs w:val="19"/>
              </w:rPr>
              <w:t xml:space="preserve">Runs day-to-day operations of one institute or branch. Needs visibility across batches, teachers, and syllabus progress without chasing people for updates.</w:t>
            </w:r>
          </w:p>
        </w:tc>
        <w:tc>
          <w:tcPr>
            <w:tcW w:type="dxa" w:w="4000"/>
            <w:tcMar>
              <w:top w:type="dxa" w:w="80"/>
              <w:left w:type="dxa" w:w="100"/>
              <w:bottom w:type="dxa" w:w="80"/>
              <w:right w:type="dxa" w:w="100"/>
            </w:tcMar>
            <w:vAlign w:val="center"/>
          </w:tcPr>
          <w:p>
            <w:r>
              <w:rPr>
                <w:b w:val="false"/>
                <w:bCs w:val="false"/>
                <w:color w:val="232323"/>
                <w:sz w:val="19"/>
                <w:szCs w:val="19"/>
              </w:rPr>
              <w:t xml:space="preserve">No single view of institute health; problems (a weak batch, an overloaded teacher) are discovered too late.</w:t>
            </w:r>
          </w:p>
        </w:tc>
      </w:tr>
      <w:tr>
        <w:tc>
          <w:tcPr>
            <w:tcW w:type="dxa" w:w="1600"/>
            <w:shd w:fill="EAF2F1" w:val="clear"/>
            <w:tcMar>
              <w:top w:type="dxa" w:w="80"/>
              <w:left w:type="dxa" w:w="100"/>
              <w:bottom w:type="dxa" w:w="80"/>
              <w:right w:type="dxa" w:w="100"/>
            </w:tcMar>
            <w:vAlign w:val="center"/>
          </w:tcPr>
          <w:p>
            <w:r>
              <w:rPr>
                <w:b w:val="false"/>
                <w:bCs w:val="false"/>
                <w:color w:val="232323"/>
                <w:sz w:val="19"/>
                <w:szCs w:val="19"/>
              </w:rPr>
              <w:t xml:space="preserve">Founder / Super Admin</w:t>
            </w:r>
          </w:p>
        </w:tc>
        <w:tc>
          <w:tcPr>
            <w:tcW w:type="dxa" w:w="4400"/>
            <w:shd w:fill="EAF2F1" w:val="clear"/>
            <w:tcMar>
              <w:top w:type="dxa" w:w="80"/>
              <w:left w:type="dxa" w:w="100"/>
              <w:bottom w:type="dxa" w:w="80"/>
              <w:right w:type="dxa" w:w="100"/>
            </w:tcMar>
            <w:vAlign w:val="center"/>
          </w:tcPr>
          <w:p>
            <w:r>
              <w:rPr>
                <w:b w:val="false"/>
                <w:bCs w:val="false"/>
                <w:color w:val="232323"/>
                <w:sz w:val="19"/>
                <w:szCs w:val="19"/>
              </w:rPr>
              <w:t xml:space="preserve">Owns or manages multiple institutes. Needs a business-level view: adoption, growth, support load, and cross-institute comparison.</w:t>
            </w:r>
          </w:p>
        </w:tc>
        <w:tc>
          <w:tcPr>
            <w:tcW w:type="dxa" w:w="4000"/>
            <w:shd w:fill="EAF2F1" w:val="clear"/>
            <w:tcMar>
              <w:top w:type="dxa" w:w="80"/>
              <w:left w:type="dxa" w:w="100"/>
              <w:bottom w:type="dxa" w:w="80"/>
              <w:right w:type="dxa" w:w="100"/>
            </w:tcMar>
            <w:vAlign w:val="center"/>
          </w:tcPr>
          <w:p>
            <w:r>
              <w:rPr>
                <w:b w:val="false"/>
                <w:bCs w:val="false"/>
                <w:color w:val="232323"/>
                <w:sz w:val="19"/>
                <w:szCs w:val="19"/>
              </w:rPr>
              <w:t xml:space="preserve">No command center across institutes; growth and support issues are tracked informally or not at all.</w:t>
            </w:r>
          </w:p>
        </w:tc>
      </w:tr>
    </w:tbl>
    <w:p>
      <w:pPr>
        <w:pStyle w:val="Heading1"/>
        <w:pBdr>
          <w:bottom w:val="single" w:color="0F7A6E" w:sz="6" w:space="4"/>
        </w:pBdr>
        <w:spacing w:after="160" w:before="320"/>
      </w:pPr>
      <w:r>
        <w:rPr>
          <w:b/>
          <w:bCs/>
          <w:color w:val="1B2A4A"/>
          <w:sz w:val="30"/>
          <w:szCs w:val="30"/>
        </w:rPr>
        <w:t xml:space="preserve">3. Product Vision</w:t>
      </w:r>
    </w:p>
    <w:p>
      <w:pPr>
        <w:spacing w:after="160" w:line="320"/>
      </w:pPr>
      <w:r>
        <w:rPr>
          <w:b/>
          <w:bCs/>
          <w:i/>
          <w:iCs/>
          <w:color w:val="1B2A4A"/>
          <w:sz w:val="24"/>
          <w:szCs w:val="24"/>
        </w:rPr>
        <w:t xml:space="preserve">Every test should produce an improvement plan — automatically, for the student who took it, the teacher who taught it, and the institute that ran it.</w:t>
      </w:r>
    </w:p>
    <w:p>
      <w:pPr>
        <w:spacing w:after="120" w:line="300"/>
      </w:pPr>
      <w:r>
        <w:rPr>
          <w:i w:val="false"/>
          <w:iCs w:val="false"/>
          <w:color w:val="232323"/>
          <w:sz w:val="21"/>
          <w:szCs w:val="21"/>
        </w:rPr>
        <w:t xml:space="preserve">AIOS is positioned as an Academic Intelligence Platform — not a heavier ERP. It should remove work, not add it. It captures test activity that already happens and converts it into structured, explainable, and actionable intelligence: marks plus meaning, papers that are syllabus-aware, dashboards that recommend rather than just report, and a continuous improvement loop rather than a static archive.</w:t>
      </w:r>
    </w:p>
    <w:p>
      <w:pPr>
        <w:pStyle w:val="Heading1"/>
        <w:pBdr>
          <w:bottom w:val="single" w:color="0F7A6E" w:sz="6" w:space="4"/>
        </w:pBdr>
        <w:spacing w:after="160" w:before="320"/>
      </w:pPr>
      <w:r>
        <w:rPr>
          <w:b/>
          <w:bCs/>
          <w:color w:val="1B2A4A"/>
          <w:sz w:val="30"/>
          <w:szCs w:val="30"/>
        </w:rPr>
        <w:t xml:space="preserve">4. Core Features</w:t>
      </w:r>
    </w:p>
    <w:p>
      <w:pPr>
        <w:spacing w:after="120" w:line="300"/>
      </w:pPr>
      <w:r>
        <w:rPr>
          <w:i w:val="false"/>
          <w:iCs w:val="false"/>
          <w:color w:val="232323"/>
          <w:sz w:val="21"/>
          <w:szCs w:val="21"/>
        </w:rPr>
        <w:t xml:space="preserve">Every feature below maps to a working module. Priority reflects what is required for the first release (v1) versus what strengthens the product later.</w:t>
      </w:r>
    </w:p>
    <w:tbl>
      <w:tblPr>
        <w:tblW w:type="dxa" w:w="10000"/>
        <w:tblBorders>
          <w:top w:val="single" w:color="D8DCE1" w:sz="2"/>
          <w:left w:val="single" w:color="D8DCE1" w:sz="2"/>
          <w:bottom w:val="single" w:color="D8DCE1" w:sz="2"/>
          <w:right w:val="single" w:color="D8DCE1" w:sz="2"/>
          <w:insideH w:val="single" w:color="D8DCE1" w:sz="2"/>
          <w:insideV w:val="single" w:color="D8DCE1" w:sz="2"/>
        </w:tblBorders>
      </w:tblPr>
      <w:tblGrid>
        <w:gridCol w:w="2900"/>
        <w:gridCol w:w="5800"/>
        <w:gridCol w:w="1300"/>
      </w:tblGrid>
      <w:tr>
        <w:trPr>
          <w:tblHeader/>
        </w:trPr>
        <w:tc>
          <w:tcPr>
            <w:tcW w:type="dxa" w:w="2900"/>
            <w:shd w:fill="0F7A6E" w:val="clear"/>
            <w:tcMar>
              <w:top w:type="dxa" w:w="80"/>
              <w:left w:type="dxa" w:w="100"/>
              <w:bottom w:type="dxa" w:w="80"/>
              <w:right w:type="dxa" w:w="100"/>
            </w:tcMar>
            <w:vAlign w:val="center"/>
          </w:tcPr>
          <w:p>
            <w:r>
              <w:rPr>
                <w:b/>
                <w:bCs/>
                <w:color w:val="FFFFFF"/>
                <w:sz w:val="19"/>
                <w:szCs w:val="19"/>
              </w:rPr>
              <w:t xml:space="preserve">Feature</w:t>
            </w:r>
          </w:p>
        </w:tc>
        <w:tc>
          <w:tcPr>
            <w:tcW w:type="dxa" w:w="5800"/>
            <w:shd w:fill="0F7A6E" w:val="clear"/>
            <w:tcMar>
              <w:top w:type="dxa" w:w="80"/>
              <w:left w:type="dxa" w:w="100"/>
              <w:bottom w:type="dxa" w:w="80"/>
              <w:right w:type="dxa" w:w="100"/>
            </w:tcMar>
            <w:vAlign w:val="center"/>
          </w:tcPr>
          <w:p>
            <w:r>
              <w:rPr>
                <w:b/>
                <w:bCs/>
                <w:color w:val="FFFFFF"/>
                <w:sz w:val="19"/>
                <w:szCs w:val="19"/>
              </w:rPr>
              <w:t xml:space="preserve">Description</w:t>
            </w:r>
          </w:p>
        </w:tc>
        <w:tc>
          <w:tcPr>
            <w:tcW w:type="dxa" w:w="1300"/>
            <w:shd w:fill="0F7A6E" w:val="clear"/>
            <w:tcMar>
              <w:top w:type="dxa" w:w="80"/>
              <w:left w:type="dxa" w:w="100"/>
              <w:bottom w:type="dxa" w:w="80"/>
              <w:right w:type="dxa" w:w="100"/>
            </w:tcMar>
            <w:vAlign w:val="center"/>
          </w:tcPr>
          <w:p>
            <w:r>
              <w:rPr>
                <w:b/>
                <w:bCs/>
                <w:color w:val="FFFFFF"/>
                <w:sz w:val="19"/>
                <w:szCs w:val="19"/>
              </w:rPr>
              <w:t xml:space="preserve">Priority</w:t>
            </w:r>
          </w:p>
        </w:tc>
      </w:tr>
      <w:tr>
        <w:tc>
          <w:tcPr>
            <w:tcW w:type="dxa" w:w="2900"/>
            <w:tcMar>
              <w:top w:type="dxa" w:w="80"/>
              <w:left w:type="dxa" w:w="100"/>
              <w:bottom w:type="dxa" w:w="80"/>
              <w:right w:type="dxa" w:w="100"/>
            </w:tcMar>
            <w:vAlign w:val="center"/>
          </w:tcPr>
          <w:p>
            <w:r>
              <w:rPr>
                <w:b w:val="false"/>
                <w:bCs w:val="false"/>
                <w:color w:val="232323"/>
                <w:sz w:val="19"/>
                <w:szCs w:val="19"/>
              </w:rPr>
              <w:t xml:space="preserve">Student Management System</w:t>
            </w:r>
          </w:p>
        </w:tc>
        <w:tc>
          <w:tcPr>
            <w:tcW w:type="dxa" w:w="5800"/>
            <w:tcMar>
              <w:top w:type="dxa" w:w="80"/>
              <w:left w:type="dxa" w:w="100"/>
              <w:bottom w:type="dxa" w:w="80"/>
              <w:right w:type="dxa" w:w="100"/>
            </w:tcMar>
            <w:vAlign w:val="center"/>
          </w:tcPr>
          <w:p>
            <w:r>
              <w:rPr>
                <w:b w:val="false"/>
                <w:bCs w:val="false"/>
                <w:color w:val="232323"/>
                <w:sz w:val="19"/>
                <w:szCs w:val="19"/>
              </w:rPr>
              <w:t xml:space="preserve">Single source of truth for every learner: profile, timeline, tags, weak-topic history.</w:t>
            </w:r>
          </w:p>
        </w:tc>
        <w:tc>
          <w:tcPr>
            <w:tcW w:type="dxa" w:w="1300"/>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shd w:fill="EAF2F1" w:val="clear"/>
            <w:tcMar>
              <w:top w:type="dxa" w:w="80"/>
              <w:left w:type="dxa" w:w="100"/>
              <w:bottom w:type="dxa" w:w="80"/>
              <w:right w:type="dxa" w:w="100"/>
            </w:tcMar>
            <w:vAlign w:val="center"/>
          </w:tcPr>
          <w:p>
            <w:r>
              <w:rPr>
                <w:b w:val="false"/>
                <w:bCs w:val="false"/>
                <w:color w:val="232323"/>
                <w:sz w:val="19"/>
                <w:szCs w:val="19"/>
              </w:rPr>
              <w:t xml:space="preserve">Teacher Management System</w:t>
            </w:r>
          </w:p>
        </w:tc>
        <w:tc>
          <w:tcPr>
            <w:tcW w:type="dxa" w:w="5800"/>
            <w:shd w:fill="EAF2F1" w:val="clear"/>
            <w:tcMar>
              <w:top w:type="dxa" w:w="80"/>
              <w:left w:type="dxa" w:w="100"/>
              <w:bottom w:type="dxa" w:w="80"/>
              <w:right w:type="dxa" w:w="100"/>
            </w:tcMar>
            <w:vAlign w:val="center"/>
          </w:tcPr>
          <w:p>
            <w:r>
              <w:rPr>
                <w:b w:val="false"/>
                <w:bCs w:val="false"/>
                <w:color w:val="232323"/>
                <w:sz w:val="19"/>
                <w:szCs w:val="19"/>
              </w:rPr>
              <w:t xml:space="preserve">Teacher profiles, workload analytics, and an action-first dashboard.</w:t>
            </w:r>
          </w:p>
        </w:tc>
        <w:tc>
          <w:tcPr>
            <w:tcW w:type="dxa" w:w="1300"/>
            <w:shd w:fill="EAF2F1" w:val="clear"/>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tcMar>
              <w:top w:type="dxa" w:w="80"/>
              <w:left w:type="dxa" w:w="100"/>
              <w:bottom w:type="dxa" w:w="80"/>
              <w:right w:type="dxa" w:w="100"/>
            </w:tcMar>
            <w:vAlign w:val="center"/>
          </w:tcPr>
          <w:p>
            <w:r>
              <w:rPr>
                <w:b w:val="false"/>
                <w:bCs w:val="false"/>
                <w:color w:val="232323"/>
                <w:sz w:val="19"/>
                <w:szCs w:val="19"/>
              </w:rPr>
              <w:t xml:space="preserve">Timetable &amp; Dynamic Planner</w:t>
            </w:r>
          </w:p>
        </w:tc>
        <w:tc>
          <w:tcPr>
            <w:tcW w:type="dxa" w:w="5800"/>
            <w:tcMar>
              <w:top w:type="dxa" w:w="80"/>
              <w:left w:type="dxa" w:w="100"/>
              <w:bottom w:type="dxa" w:w="80"/>
              <w:right w:type="dxa" w:w="100"/>
            </w:tcMar>
            <w:vAlign w:val="center"/>
          </w:tcPr>
          <w:p>
            <w:r>
              <w:rPr>
                <w:b w:val="false"/>
                <w:bCs w:val="false"/>
                <w:color w:val="232323"/>
                <w:sz w:val="19"/>
                <w:szCs w:val="19"/>
              </w:rPr>
              <w:t xml:space="preserve">Class, exam, revision and remedial schedules with conflict detection.</w:t>
            </w:r>
          </w:p>
        </w:tc>
        <w:tc>
          <w:tcPr>
            <w:tcW w:type="dxa" w:w="1300"/>
            <w:tcMar>
              <w:top w:type="dxa" w:w="80"/>
              <w:left w:type="dxa" w:w="100"/>
              <w:bottom w:type="dxa" w:w="80"/>
              <w:right w:type="dxa" w:w="100"/>
            </w:tcMar>
            <w:vAlign w:val="center"/>
          </w:tcPr>
          <w:p>
            <w:r>
              <w:rPr>
                <w:b w:val="false"/>
                <w:bCs w:val="false"/>
                <w:color w:val="232323"/>
                <w:sz w:val="19"/>
                <w:szCs w:val="19"/>
              </w:rPr>
              <w:t xml:space="preserve">Should-have</w:t>
            </w:r>
          </w:p>
        </w:tc>
      </w:tr>
      <w:tr>
        <w:tc>
          <w:tcPr>
            <w:tcW w:type="dxa" w:w="2900"/>
            <w:shd w:fill="EAF2F1" w:val="clear"/>
            <w:tcMar>
              <w:top w:type="dxa" w:w="80"/>
              <w:left w:type="dxa" w:w="100"/>
              <w:bottom w:type="dxa" w:w="80"/>
              <w:right w:type="dxa" w:w="100"/>
            </w:tcMar>
            <w:vAlign w:val="center"/>
          </w:tcPr>
          <w:p>
            <w:r>
              <w:rPr>
                <w:b w:val="false"/>
                <w:bCs w:val="false"/>
                <w:color w:val="232323"/>
                <w:sz w:val="19"/>
                <w:szCs w:val="19"/>
              </w:rPr>
              <w:t xml:space="preserve">Exam Schedule &amp; Setting Plan</w:t>
            </w:r>
          </w:p>
        </w:tc>
        <w:tc>
          <w:tcPr>
            <w:tcW w:type="dxa" w:w="5800"/>
            <w:shd w:fill="EAF2F1" w:val="clear"/>
            <w:tcMar>
              <w:top w:type="dxa" w:w="80"/>
              <w:left w:type="dxa" w:w="100"/>
              <w:bottom w:type="dxa" w:w="80"/>
              <w:right w:type="dxa" w:w="100"/>
            </w:tcMar>
            <w:vAlign w:val="center"/>
          </w:tcPr>
          <w:p>
            <w:r>
              <w:rPr>
                <w:b w:val="false"/>
                <w:bCs w:val="false"/>
                <w:color w:val="232323"/>
                <w:sz w:val="19"/>
                <w:szCs w:val="19"/>
              </w:rPr>
              <w:t xml:space="preserve">Structured exam calendar with blueprint, approval flow, and syllabus coverage tracking.</w:t>
            </w:r>
          </w:p>
        </w:tc>
        <w:tc>
          <w:tcPr>
            <w:tcW w:type="dxa" w:w="1300"/>
            <w:shd w:fill="EAF2F1" w:val="clear"/>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tcMar>
              <w:top w:type="dxa" w:w="80"/>
              <w:left w:type="dxa" w:w="100"/>
              <w:bottom w:type="dxa" w:w="80"/>
              <w:right w:type="dxa" w:w="100"/>
            </w:tcMar>
            <w:vAlign w:val="center"/>
          </w:tcPr>
          <w:p>
            <w:r>
              <w:rPr>
                <w:b w:val="false"/>
                <w:bCs w:val="false"/>
                <w:color w:val="232323"/>
                <w:sz w:val="19"/>
                <w:szCs w:val="19"/>
              </w:rPr>
              <w:t xml:space="preserve">Paper Maker (General + Specialized)</w:t>
            </w:r>
          </w:p>
        </w:tc>
        <w:tc>
          <w:tcPr>
            <w:tcW w:type="dxa" w:w="5800"/>
            <w:tcMar>
              <w:top w:type="dxa" w:w="80"/>
              <w:left w:type="dxa" w:w="100"/>
              <w:bottom w:type="dxa" w:w="80"/>
              <w:right w:type="dxa" w:w="100"/>
            </w:tcMar>
            <w:vAlign w:val="center"/>
          </w:tcPr>
          <w:p>
            <w:r>
              <w:rPr>
                <w:b w:val="false"/>
                <w:bCs w:val="false"/>
                <w:color w:val="232323"/>
                <w:sz w:val="19"/>
                <w:szCs w:val="19"/>
              </w:rPr>
              <w:t xml:space="preserve">Syllabus-aware paper generation, with personalized papers unlocked once test data exists.</w:t>
            </w:r>
          </w:p>
        </w:tc>
        <w:tc>
          <w:tcPr>
            <w:tcW w:type="dxa" w:w="1300"/>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shd w:fill="EAF2F1" w:val="clear"/>
            <w:tcMar>
              <w:top w:type="dxa" w:w="80"/>
              <w:left w:type="dxa" w:w="100"/>
              <w:bottom w:type="dxa" w:w="80"/>
              <w:right w:type="dxa" w:w="100"/>
            </w:tcMar>
            <w:vAlign w:val="center"/>
          </w:tcPr>
          <w:p>
            <w:r>
              <w:rPr>
                <w:b w:val="false"/>
                <w:bCs w:val="false"/>
                <w:color w:val="232323"/>
                <w:sz w:val="19"/>
                <w:szCs w:val="19"/>
              </w:rPr>
              <w:t xml:space="preserve">Question Bank &amp; Syllabus Intelligence</w:t>
            </w:r>
          </w:p>
        </w:tc>
        <w:tc>
          <w:tcPr>
            <w:tcW w:type="dxa" w:w="5800"/>
            <w:shd w:fill="EAF2F1" w:val="clear"/>
            <w:tcMar>
              <w:top w:type="dxa" w:w="80"/>
              <w:left w:type="dxa" w:w="100"/>
              <w:bottom w:type="dxa" w:w="80"/>
              <w:right w:type="dxa" w:w="100"/>
            </w:tcMar>
            <w:vAlign w:val="center"/>
          </w:tcPr>
          <w:p>
            <w:r>
              <w:rPr>
                <w:b w:val="false"/>
                <w:bCs w:val="false"/>
                <w:color w:val="232323"/>
                <w:sz w:val="19"/>
                <w:szCs w:val="19"/>
              </w:rPr>
              <w:t xml:space="preserve">Tagged, versioned question repository with quality scoring.</w:t>
            </w:r>
          </w:p>
        </w:tc>
        <w:tc>
          <w:tcPr>
            <w:tcW w:type="dxa" w:w="1300"/>
            <w:shd w:fill="EAF2F1" w:val="clear"/>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tcMar>
              <w:top w:type="dxa" w:w="80"/>
              <w:left w:type="dxa" w:w="100"/>
              <w:bottom w:type="dxa" w:w="80"/>
              <w:right w:type="dxa" w:w="100"/>
            </w:tcMar>
            <w:vAlign w:val="center"/>
          </w:tcPr>
          <w:p>
            <w:r>
              <w:rPr>
                <w:b w:val="false"/>
                <w:bCs w:val="false"/>
                <w:color w:val="232323"/>
                <w:sz w:val="19"/>
                <w:szCs w:val="19"/>
              </w:rPr>
              <w:t xml:space="preserve">Marks Capture &amp; Evaluation</w:t>
            </w:r>
          </w:p>
        </w:tc>
        <w:tc>
          <w:tcPr>
            <w:tcW w:type="dxa" w:w="5800"/>
            <w:tcMar>
              <w:top w:type="dxa" w:w="80"/>
              <w:left w:type="dxa" w:w="100"/>
              <w:bottom w:type="dxa" w:w="80"/>
              <w:right w:type="dxa" w:w="100"/>
            </w:tcMar>
            <w:vAlign w:val="center"/>
          </w:tcPr>
          <w:p>
            <w:r>
              <w:rPr>
                <w:b w:val="false"/>
                <w:bCs w:val="false"/>
                <w:color w:val="232323"/>
                <w:sz w:val="19"/>
                <w:szCs w:val="19"/>
              </w:rPr>
              <w:t xml:space="preserve">Multiple capture modes (OMR, photo, grid entry, CSV) so teachers only evaluate, not digitize.</w:t>
            </w:r>
          </w:p>
        </w:tc>
        <w:tc>
          <w:tcPr>
            <w:tcW w:type="dxa" w:w="1300"/>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shd w:fill="EAF2F1" w:val="clear"/>
            <w:tcMar>
              <w:top w:type="dxa" w:w="80"/>
              <w:left w:type="dxa" w:w="100"/>
              <w:bottom w:type="dxa" w:w="80"/>
              <w:right w:type="dxa" w:w="100"/>
            </w:tcMar>
            <w:vAlign w:val="center"/>
          </w:tcPr>
          <w:p>
            <w:r>
              <w:rPr>
                <w:b w:val="false"/>
                <w:bCs w:val="false"/>
                <w:color w:val="232323"/>
                <w:sz w:val="19"/>
                <w:szCs w:val="19"/>
              </w:rPr>
              <w:t xml:space="preserve">Student Analysis Engine</w:t>
            </w:r>
          </w:p>
        </w:tc>
        <w:tc>
          <w:tcPr>
            <w:tcW w:type="dxa" w:w="5800"/>
            <w:shd w:fill="EAF2F1" w:val="clear"/>
            <w:tcMar>
              <w:top w:type="dxa" w:w="80"/>
              <w:left w:type="dxa" w:w="100"/>
              <w:bottom w:type="dxa" w:w="80"/>
              <w:right w:type="dxa" w:w="100"/>
            </w:tcMar>
            <w:vAlign w:val="center"/>
          </w:tcPr>
          <w:p>
            <w:r>
              <w:rPr>
                <w:b w:val="false"/>
                <w:bCs w:val="false"/>
                <w:color w:val="232323"/>
                <w:sz w:val="19"/>
                <w:szCs w:val="19"/>
              </w:rPr>
              <w:t xml:space="preserve">Topic mastery scoring, weakness detection, misconception clustering.</w:t>
            </w:r>
          </w:p>
        </w:tc>
        <w:tc>
          <w:tcPr>
            <w:tcW w:type="dxa" w:w="1300"/>
            <w:shd w:fill="EAF2F1" w:val="clear"/>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tcMar>
              <w:top w:type="dxa" w:w="80"/>
              <w:left w:type="dxa" w:w="100"/>
              <w:bottom w:type="dxa" w:w="80"/>
              <w:right w:type="dxa" w:w="100"/>
            </w:tcMar>
            <w:vAlign w:val="center"/>
          </w:tcPr>
          <w:p>
            <w:r>
              <w:rPr>
                <w:b w:val="false"/>
                <w:bCs w:val="false"/>
                <w:color w:val="232323"/>
                <w:sz w:val="19"/>
                <w:szCs w:val="19"/>
              </w:rPr>
              <w:t xml:space="preserve">Personalized Learning Engine</w:t>
            </w:r>
          </w:p>
        </w:tc>
        <w:tc>
          <w:tcPr>
            <w:tcW w:type="dxa" w:w="5800"/>
            <w:tcMar>
              <w:top w:type="dxa" w:w="80"/>
              <w:left w:type="dxa" w:w="100"/>
              <w:bottom w:type="dxa" w:w="80"/>
              <w:right w:type="dxa" w:w="100"/>
            </w:tcMar>
            <w:vAlign w:val="center"/>
          </w:tcPr>
          <w:p>
            <w:r>
              <w:rPr>
                <w:b w:val="false"/>
                <w:bCs w:val="false"/>
                <w:color w:val="232323"/>
                <w:sz w:val="19"/>
                <w:szCs w:val="19"/>
              </w:rPr>
              <w:t xml:space="preserve">Next-best study action, remedial worksheets, spaced revision plans.</w:t>
            </w:r>
          </w:p>
        </w:tc>
        <w:tc>
          <w:tcPr>
            <w:tcW w:type="dxa" w:w="1300"/>
            <w:tcMar>
              <w:top w:type="dxa" w:w="80"/>
              <w:left w:type="dxa" w:w="100"/>
              <w:bottom w:type="dxa" w:w="80"/>
              <w:right w:type="dxa" w:w="100"/>
            </w:tcMar>
            <w:vAlign w:val="center"/>
          </w:tcPr>
          <w:p>
            <w:r>
              <w:rPr>
                <w:b w:val="false"/>
                <w:bCs w:val="false"/>
                <w:color w:val="232323"/>
                <w:sz w:val="19"/>
                <w:szCs w:val="19"/>
              </w:rPr>
              <w:t xml:space="preserve">Should-have</w:t>
            </w:r>
          </w:p>
        </w:tc>
      </w:tr>
      <w:tr>
        <w:tc>
          <w:tcPr>
            <w:tcW w:type="dxa" w:w="2900"/>
            <w:shd w:fill="EAF2F1" w:val="clear"/>
            <w:tcMar>
              <w:top w:type="dxa" w:w="80"/>
              <w:left w:type="dxa" w:w="100"/>
              <w:bottom w:type="dxa" w:w="80"/>
              <w:right w:type="dxa" w:w="100"/>
            </w:tcMar>
            <w:vAlign w:val="center"/>
          </w:tcPr>
          <w:p>
            <w:r>
              <w:rPr>
                <w:b w:val="false"/>
                <w:bCs w:val="false"/>
                <w:color w:val="232323"/>
                <w:sz w:val="19"/>
                <w:szCs w:val="19"/>
              </w:rPr>
              <w:t xml:space="preserve">Teacher / Student / Admin Dashboards</w:t>
            </w:r>
          </w:p>
        </w:tc>
        <w:tc>
          <w:tcPr>
            <w:tcW w:type="dxa" w:w="5800"/>
            <w:shd w:fill="EAF2F1" w:val="clear"/>
            <w:tcMar>
              <w:top w:type="dxa" w:w="80"/>
              <w:left w:type="dxa" w:w="100"/>
              <w:bottom w:type="dxa" w:w="80"/>
              <w:right w:type="dxa" w:w="100"/>
            </w:tcMar>
            <w:vAlign w:val="center"/>
          </w:tcPr>
          <w:p>
            <w:r>
              <w:rPr>
                <w:b w:val="false"/>
                <w:bCs w:val="false"/>
                <w:color w:val="232323"/>
                <w:sz w:val="19"/>
                <w:szCs w:val="19"/>
              </w:rPr>
              <w:t xml:space="preserve">Role-specific views that answer one question each: what should I do now?</w:t>
            </w:r>
          </w:p>
        </w:tc>
        <w:tc>
          <w:tcPr>
            <w:tcW w:type="dxa" w:w="1300"/>
            <w:shd w:fill="EAF2F1" w:val="clear"/>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tcMar>
              <w:top w:type="dxa" w:w="80"/>
              <w:left w:type="dxa" w:w="100"/>
              <w:bottom w:type="dxa" w:w="80"/>
              <w:right w:type="dxa" w:w="100"/>
            </w:tcMar>
            <w:vAlign w:val="center"/>
          </w:tcPr>
          <w:p>
            <w:r>
              <w:rPr>
                <w:b w:val="false"/>
                <w:bCs w:val="false"/>
                <w:color w:val="232323"/>
                <w:sz w:val="19"/>
                <w:szCs w:val="19"/>
              </w:rPr>
              <w:t xml:space="preserve">Founder / Super Admin Workspace</w:t>
            </w:r>
          </w:p>
        </w:tc>
        <w:tc>
          <w:tcPr>
            <w:tcW w:type="dxa" w:w="5800"/>
            <w:tcMar>
              <w:top w:type="dxa" w:w="80"/>
              <w:left w:type="dxa" w:w="100"/>
              <w:bottom w:type="dxa" w:w="80"/>
              <w:right w:type="dxa" w:w="100"/>
            </w:tcMar>
            <w:vAlign w:val="center"/>
          </w:tcPr>
          <w:p>
            <w:r>
              <w:rPr>
                <w:b w:val="false"/>
                <w:bCs w:val="false"/>
                <w:color w:val="232323"/>
                <w:sz w:val="19"/>
                <w:szCs w:val="19"/>
              </w:rPr>
              <w:t xml:space="preserve">Multi-institute command center with adoption and support visibility.</w:t>
            </w:r>
          </w:p>
        </w:tc>
        <w:tc>
          <w:tcPr>
            <w:tcW w:type="dxa" w:w="1300"/>
            <w:tcMar>
              <w:top w:type="dxa" w:w="80"/>
              <w:left w:type="dxa" w:w="100"/>
              <w:bottom w:type="dxa" w:w="80"/>
              <w:right w:type="dxa" w:w="100"/>
            </w:tcMar>
            <w:vAlign w:val="center"/>
          </w:tcPr>
          <w:p>
            <w:r>
              <w:rPr>
                <w:b w:val="false"/>
                <w:bCs w:val="false"/>
                <w:color w:val="232323"/>
                <w:sz w:val="19"/>
                <w:szCs w:val="19"/>
              </w:rPr>
              <w:t xml:space="preserve">Should-have</w:t>
            </w:r>
          </w:p>
        </w:tc>
      </w:tr>
      <w:tr>
        <w:tc>
          <w:tcPr>
            <w:tcW w:type="dxa" w:w="2900"/>
            <w:shd w:fill="EAF2F1" w:val="clear"/>
            <w:tcMar>
              <w:top w:type="dxa" w:w="80"/>
              <w:left w:type="dxa" w:w="100"/>
              <w:bottom w:type="dxa" w:w="80"/>
              <w:right w:type="dxa" w:w="100"/>
            </w:tcMar>
            <w:vAlign w:val="center"/>
          </w:tcPr>
          <w:p>
            <w:r>
              <w:rPr>
                <w:b w:val="false"/>
                <w:bCs w:val="false"/>
                <w:color w:val="232323"/>
                <w:sz w:val="19"/>
                <w:szCs w:val="19"/>
              </w:rPr>
              <w:t xml:space="preserve">Doubt Funnel</w:t>
            </w:r>
          </w:p>
        </w:tc>
        <w:tc>
          <w:tcPr>
            <w:tcW w:type="dxa" w:w="5800"/>
            <w:shd w:fill="EAF2F1" w:val="clear"/>
            <w:tcMar>
              <w:top w:type="dxa" w:w="80"/>
              <w:left w:type="dxa" w:w="100"/>
              <w:bottom w:type="dxa" w:w="80"/>
              <w:right w:type="dxa" w:w="100"/>
            </w:tcMar>
            <w:vAlign w:val="center"/>
          </w:tcPr>
          <w:p>
            <w:r>
              <w:rPr>
                <w:b w:val="false"/>
                <w:bCs w:val="false"/>
                <w:color w:val="232323"/>
                <w:sz w:val="19"/>
                <w:szCs w:val="19"/>
              </w:rPr>
              <w:t xml:space="preserve">Converts doubts (text, image, voice) into trackable, assignable tickets.</w:t>
            </w:r>
          </w:p>
        </w:tc>
        <w:tc>
          <w:tcPr>
            <w:tcW w:type="dxa" w:w="1300"/>
            <w:shd w:fill="EAF2F1" w:val="clear"/>
            <w:tcMar>
              <w:top w:type="dxa" w:w="80"/>
              <w:left w:type="dxa" w:w="100"/>
              <w:bottom w:type="dxa" w:w="80"/>
              <w:right w:type="dxa" w:w="100"/>
            </w:tcMar>
            <w:vAlign w:val="center"/>
          </w:tcPr>
          <w:p>
            <w:r>
              <w:rPr>
                <w:b w:val="false"/>
                <w:bCs w:val="false"/>
                <w:color w:val="232323"/>
                <w:sz w:val="19"/>
                <w:szCs w:val="19"/>
              </w:rPr>
              <w:t xml:space="preserve">Should-have</w:t>
            </w:r>
          </w:p>
        </w:tc>
      </w:tr>
      <w:tr>
        <w:tc>
          <w:tcPr>
            <w:tcW w:type="dxa" w:w="2900"/>
            <w:tcMar>
              <w:top w:type="dxa" w:w="80"/>
              <w:left w:type="dxa" w:w="100"/>
              <w:bottom w:type="dxa" w:w="80"/>
              <w:right w:type="dxa" w:w="100"/>
            </w:tcMar>
            <w:vAlign w:val="center"/>
          </w:tcPr>
          <w:p>
            <w:r>
              <w:rPr>
                <w:b w:val="false"/>
                <w:bCs w:val="false"/>
                <w:color w:val="232323"/>
                <w:sz w:val="19"/>
                <w:szCs w:val="19"/>
              </w:rPr>
              <w:t xml:space="preserve">Assignment Allotment</w:t>
            </w:r>
          </w:p>
        </w:tc>
        <w:tc>
          <w:tcPr>
            <w:tcW w:type="dxa" w:w="5800"/>
            <w:tcMar>
              <w:top w:type="dxa" w:w="80"/>
              <w:left w:type="dxa" w:w="100"/>
              <w:bottom w:type="dxa" w:w="80"/>
              <w:right w:type="dxa" w:w="100"/>
            </w:tcMar>
            <w:vAlign w:val="center"/>
          </w:tcPr>
          <w:p>
            <w:r>
              <w:rPr>
                <w:b w:val="false"/>
                <w:bCs w:val="false"/>
                <w:color w:val="232323"/>
                <w:sz w:val="19"/>
                <w:szCs w:val="19"/>
              </w:rPr>
              <w:t xml:space="preserve">Auto-assignments from weak topics; submission and outcome tracking.</w:t>
            </w:r>
          </w:p>
        </w:tc>
        <w:tc>
          <w:tcPr>
            <w:tcW w:type="dxa" w:w="1300"/>
            <w:tcMar>
              <w:top w:type="dxa" w:w="80"/>
              <w:left w:type="dxa" w:w="100"/>
              <w:bottom w:type="dxa" w:w="80"/>
              <w:right w:type="dxa" w:w="100"/>
            </w:tcMar>
            <w:vAlign w:val="center"/>
          </w:tcPr>
          <w:p>
            <w:r>
              <w:rPr>
                <w:b w:val="false"/>
                <w:bCs w:val="false"/>
                <w:color w:val="232323"/>
                <w:sz w:val="19"/>
                <w:szCs w:val="19"/>
              </w:rPr>
              <w:t xml:space="preserve">Should-have</w:t>
            </w:r>
          </w:p>
        </w:tc>
      </w:tr>
      <w:tr>
        <w:tc>
          <w:tcPr>
            <w:tcW w:type="dxa" w:w="2900"/>
            <w:shd w:fill="EAF2F1" w:val="clear"/>
            <w:tcMar>
              <w:top w:type="dxa" w:w="80"/>
              <w:left w:type="dxa" w:w="100"/>
              <w:bottom w:type="dxa" w:w="80"/>
              <w:right w:type="dxa" w:w="100"/>
            </w:tcMar>
            <w:vAlign w:val="center"/>
          </w:tcPr>
          <w:p>
            <w:r>
              <w:rPr>
                <w:b w:val="false"/>
                <w:bCs w:val="false"/>
                <w:color w:val="232323"/>
                <w:sz w:val="19"/>
                <w:szCs w:val="19"/>
              </w:rPr>
              <w:t xml:space="preserve">Extra Class &amp; Remedial Engine</w:t>
            </w:r>
          </w:p>
        </w:tc>
        <w:tc>
          <w:tcPr>
            <w:tcW w:type="dxa" w:w="5800"/>
            <w:shd w:fill="EAF2F1" w:val="clear"/>
            <w:tcMar>
              <w:top w:type="dxa" w:w="80"/>
              <w:left w:type="dxa" w:w="100"/>
              <w:bottom w:type="dxa" w:w="80"/>
              <w:right w:type="dxa" w:w="100"/>
            </w:tcMar>
            <w:vAlign w:val="center"/>
          </w:tcPr>
          <w:p>
            <w:r>
              <w:rPr>
                <w:b w:val="false"/>
                <w:bCs w:val="false"/>
                <w:color w:val="232323"/>
                <w:sz w:val="19"/>
                <w:szCs w:val="19"/>
              </w:rPr>
              <w:t xml:space="preserve">Clusters weak students, suggests remedial timing, tracks post-class improvement.</w:t>
            </w:r>
          </w:p>
        </w:tc>
        <w:tc>
          <w:tcPr>
            <w:tcW w:type="dxa" w:w="1300"/>
            <w:shd w:fill="EAF2F1" w:val="clear"/>
            <w:tcMar>
              <w:top w:type="dxa" w:w="80"/>
              <w:left w:type="dxa" w:w="100"/>
              <w:bottom w:type="dxa" w:w="80"/>
              <w:right w:type="dxa" w:w="100"/>
            </w:tcMar>
            <w:vAlign w:val="center"/>
          </w:tcPr>
          <w:p>
            <w:r>
              <w:rPr>
                <w:b w:val="false"/>
                <w:bCs w:val="false"/>
                <w:color w:val="232323"/>
                <w:sz w:val="19"/>
                <w:szCs w:val="19"/>
              </w:rPr>
              <w:t xml:space="preserve">Nice-to-have</w:t>
            </w:r>
          </w:p>
        </w:tc>
      </w:tr>
      <w:tr>
        <w:tc>
          <w:tcPr>
            <w:tcW w:type="dxa" w:w="2900"/>
            <w:tcMar>
              <w:top w:type="dxa" w:w="80"/>
              <w:left w:type="dxa" w:w="100"/>
              <w:bottom w:type="dxa" w:w="80"/>
              <w:right w:type="dxa" w:w="100"/>
            </w:tcMar>
            <w:vAlign w:val="center"/>
          </w:tcPr>
          <w:p>
            <w:r>
              <w:rPr>
                <w:b w:val="false"/>
                <w:bCs w:val="false"/>
                <w:color w:val="232323"/>
                <w:sz w:val="19"/>
                <w:szCs w:val="19"/>
              </w:rPr>
              <w:t xml:space="preserve">Communication Center</w:t>
            </w:r>
          </w:p>
        </w:tc>
        <w:tc>
          <w:tcPr>
            <w:tcW w:type="dxa" w:w="5800"/>
            <w:tcMar>
              <w:top w:type="dxa" w:w="80"/>
              <w:left w:type="dxa" w:w="100"/>
              <w:bottom w:type="dxa" w:w="80"/>
              <w:right w:type="dxa" w:w="100"/>
            </w:tcMar>
            <w:vAlign w:val="center"/>
          </w:tcPr>
          <w:p>
            <w:r>
              <w:rPr>
                <w:b w:val="false"/>
                <w:bCs w:val="false"/>
                <w:color w:val="232323"/>
                <w:sz w:val="19"/>
                <w:szCs w:val="19"/>
              </w:rPr>
              <w:t xml:space="preserve">Notices, alerts, and escalations across WhatsApp, email, SMS, and in-app.</w:t>
            </w:r>
          </w:p>
        </w:tc>
        <w:tc>
          <w:tcPr>
            <w:tcW w:type="dxa" w:w="1300"/>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shd w:fill="EAF2F1" w:val="clear"/>
            <w:tcMar>
              <w:top w:type="dxa" w:w="80"/>
              <w:left w:type="dxa" w:w="100"/>
              <w:bottom w:type="dxa" w:w="80"/>
              <w:right w:type="dxa" w:w="100"/>
            </w:tcMar>
            <w:vAlign w:val="center"/>
          </w:tcPr>
          <w:p>
            <w:r>
              <w:rPr>
                <w:b w:val="false"/>
                <w:bCs w:val="false"/>
                <w:color w:val="232323"/>
                <w:sz w:val="19"/>
                <w:szCs w:val="19"/>
              </w:rPr>
              <w:t xml:space="preserve">Reports &amp; Exports</w:t>
            </w:r>
          </w:p>
        </w:tc>
        <w:tc>
          <w:tcPr>
            <w:tcW w:type="dxa" w:w="5800"/>
            <w:shd w:fill="EAF2F1" w:val="clear"/>
            <w:tcMar>
              <w:top w:type="dxa" w:w="80"/>
              <w:left w:type="dxa" w:w="100"/>
              <w:bottom w:type="dxa" w:w="80"/>
              <w:right w:type="dxa" w:w="100"/>
            </w:tcMar>
            <w:vAlign w:val="center"/>
          </w:tcPr>
          <w:p>
            <w:r>
              <w:rPr>
                <w:b w:val="false"/>
                <w:bCs w:val="false"/>
                <w:color w:val="232323"/>
                <w:sz w:val="19"/>
                <w:szCs w:val="19"/>
              </w:rPr>
              <w:t xml:space="preserve">Report cards, progress sheets, PDF/Excel export, print-ready layouts.</w:t>
            </w:r>
          </w:p>
        </w:tc>
        <w:tc>
          <w:tcPr>
            <w:tcW w:type="dxa" w:w="1300"/>
            <w:shd w:fill="EAF2F1" w:val="clear"/>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tcMar>
              <w:top w:type="dxa" w:w="80"/>
              <w:left w:type="dxa" w:w="100"/>
              <w:bottom w:type="dxa" w:w="80"/>
              <w:right w:type="dxa" w:w="100"/>
            </w:tcMar>
            <w:vAlign w:val="center"/>
          </w:tcPr>
          <w:p>
            <w:r>
              <w:rPr>
                <w:b w:val="false"/>
                <w:bCs w:val="false"/>
                <w:color w:val="232323"/>
                <w:sz w:val="19"/>
                <w:szCs w:val="19"/>
              </w:rPr>
              <w:t xml:space="preserve">Audit Logs &amp; History</w:t>
            </w:r>
          </w:p>
        </w:tc>
        <w:tc>
          <w:tcPr>
            <w:tcW w:type="dxa" w:w="5800"/>
            <w:tcMar>
              <w:top w:type="dxa" w:w="80"/>
              <w:left w:type="dxa" w:w="100"/>
              <w:bottom w:type="dxa" w:w="80"/>
              <w:right w:type="dxa" w:w="100"/>
            </w:tcMar>
            <w:vAlign w:val="center"/>
          </w:tcPr>
          <w:p>
            <w:r>
              <w:rPr>
                <w:b w:val="false"/>
                <w:bCs w:val="false"/>
                <w:color w:val="232323"/>
                <w:sz w:val="19"/>
                <w:szCs w:val="19"/>
              </w:rPr>
              <w:t xml:space="preserve">Full accountability trail for marks, papers, timetables, and approvals.</w:t>
            </w:r>
          </w:p>
        </w:tc>
        <w:tc>
          <w:tcPr>
            <w:tcW w:type="dxa" w:w="1300"/>
            <w:tcMar>
              <w:top w:type="dxa" w:w="80"/>
              <w:left w:type="dxa" w:w="100"/>
              <w:bottom w:type="dxa" w:w="80"/>
              <w:right w:type="dxa" w:w="100"/>
            </w:tcMar>
            <w:vAlign w:val="center"/>
          </w:tcPr>
          <w:p>
            <w:r>
              <w:rPr>
                <w:b w:val="false"/>
                <w:bCs w:val="false"/>
                <w:color w:val="232323"/>
                <w:sz w:val="19"/>
                <w:szCs w:val="19"/>
              </w:rPr>
              <w:t xml:space="preserve">Must-have</w:t>
            </w:r>
          </w:p>
        </w:tc>
      </w:tr>
      <w:tr>
        <w:tc>
          <w:tcPr>
            <w:tcW w:type="dxa" w:w="2900"/>
            <w:shd w:fill="EAF2F1" w:val="clear"/>
            <w:tcMar>
              <w:top w:type="dxa" w:w="80"/>
              <w:left w:type="dxa" w:w="100"/>
              <w:bottom w:type="dxa" w:w="80"/>
              <w:right w:type="dxa" w:w="100"/>
            </w:tcMar>
            <w:vAlign w:val="center"/>
          </w:tcPr>
          <w:p>
            <w:r>
              <w:rPr>
                <w:b w:val="false"/>
                <w:bCs w:val="false"/>
                <w:color w:val="232323"/>
                <w:sz w:val="19"/>
                <w:szCs w:val="19"/>
              </w:rPr>
              <w:t xml:space="preserve">Institute Analytics</w:t>
            </w:r>
          </w:p>
        </w:tc>
        <w:tc>
          <w:tcPr>
            <w:tcW w:type="dxa" w:w="5800"/>
            <w:shd w:fill="EAF2F1" w:val="clear"/>
            <w:tcMar>
              <w:top w:type="dxa" w:w="80"/>
              <w:left w:type="dxa" w:w="100"/>
              <w:bottom w:type="dxa" w:w="80"/>
              <w:right w:type="dxa" w:w="100"/>
            </w:tcMar>
            <w:vAlign w:val="center"/>
          </w:tcPr>
          <w:p>
            <w:r>
              <w:rPr>
                <w:b w:val="false"/>
                <w:bCs w:val="false"/>
                <w:color w:val="232323"/>
                <w:sz w:val="19"/>
                <w:szCs w:val="19"/>
              </w:rPr>
              <w:t xml:space="preserve">Batch/subject/teacher comparison and syllabus completion trends for management.</w:t>
            </w:r>
          </w:p>
        </w:tc>
        <w:tc>
          <w:tcPr>
            <w:tcW w:type="dxa" w:w="1300"/>
            <w:shd w:fill="EAF2F1" w:val="clear"/>
            <w:tcMar>
              <w:top w:type="dxa" w:w="80"/>
              <w:left w:type="dxa" w:w="100"/>
              <w:bottom w:type="dxa" w:w="80"/>
              <w:right w:type="dxa" w:w="100"/>
            </w:tcMar>
            <w:vAlign w:val="center"/>
          </w:tcPr>
          <w:p>
            <w:r>
              <w:rPr>
                <w:b w:val="false"/>
                <w:bCs w:val="false"/>
                <w:color w:val="232323"/>
                <w:sz w:val="19"/>
                <w:szCs w:val="19"/>
              </w:rPr>
              <w:t xml:space="preserve">Should-have</w:t>
            </w:r>
          </w:p>
        </w:tc>
      </w:tr>
    </w:tbl>
    <w:p>
      <w:pPr>
        <w:pStyle w:val="Heading1"/>
        <w:pBdr>
          <w:bottom w:val="single" w:color="0F7A6E" w:sz="6" w:space="4"/>
        </w:pBdr>
        <w:spacing w:after="160" w:before="320"/>
      </w:pPr>
      <w:r>
        <w:rPr>
          <w:b/>
          <w:bCs/>
          <w:color w:val="1B2A4A"/>
          <w:sz w:val="30"/>
          <w:szCs w:val="30"/>
        </w:rPr>
        <w:t xml:space="preserve">5. App Flow</w:t>
      </w:r>
    </w:p>
    <w:p>
      <w:pPr>
        <w:pStyle w:val="Heading2"/>
        <w:spacing w:after="120" w:before="260"/>
      </w:pPr>
      <w:r>
        <w:rPr>
          <w:b/>
          <w:bCs/>
          <w:color w:val="0F7A6E"/>
          <w:sz w:val="24"/>
          <w:szCs w:val="24"/>
        </w:rPr>
        <w:t xml:space="preserve">5.1 Login &amp; Routing (all roles)</w:t>
      </w:r>
    </w:p>
    <w:p>
      <w:pPr>
        <w:pStyle w:val="ListParagraph"/>
        <w:numPr>
          <w:ilvl w:val="0"/>
          <w:numId w:val="2"/>
        </w:numPr>
        <w:spacing w:after="70"/>
      </w:pPr>
      <w:r>
        <w:rPr>
          <w:color w:val="232323"/>
          <w:sz w:val="21"/>
          <w:szCs w:val="21"/>
        </w:rPr>
        <w:t xml:space="preserve">User opens the app and selects "Sign in with Google."</w:t>
      </w:r>
    </w:p>
    <w:p>
      <w:pPr>
        <w:pStyle w:val="ListParagraph"/>
        <w:numPr>
          <w:ilvl w:val="0"/>
          <w:numId w:val="2"/>
        </w:numPr>
        <w:spacing w:after="70"/>
      </w:pPr>
      <w:r>
        <w:rPr>
          <w:color w:val="232323"/>
          <w:sz w:val="21"/>
          <w:szCs w:val="21"/>
        </w:rPr>
        <w:t xml:space="preserve">Backend verifies the Google ID token (signature, audience, issuer, expiry).</w:t>
      </w:r>
    </w:p>
    <w:p>
      <w:pPr>
        <w:pStyle w:val="ListParagraph"/>
        <w:numPr>
          <w:ilvl w:val="0"/>
          <w:numId w:val="2"/>
        </w:numPr>
        <w:spacing w:after="70"/>
      </w:pPr>
      <w:r>
        <w:rPr>
          <w:color w:val="232323"/>
          <w:sz w:val="21"/>
          <w:szCs w:val="21"/>
        </w:rPr>
        <w:t xml:space="preserve">System checks the email against the institute's pre-approved allow-list and role mapping.</w:t>
      </w:r>
    </w:p>
    <w:p>
      <w:pPr>
        <w:pStyle w:val="ListParagraph"/>
        <w:numPr>
          <w:ilvl w:val="0"/>
          <w:numId w:val="2"/>
        </w:numPr>
        <w:spacing w:after="70"/>
      </w:pPr>
      <w:r>
        <w:rPr>
          <w:color w:val="232323"/>
          <w:sz w:val="21"/>
          <w:szCs w:val="21"/>
        </w:rPr>
        <w:t xml:space="preserve">Match found → the correct role dashboard opens (Student, Teacher, Admin, or Founder).</w:t>
      </w:r>
    </w:p>
    <w:p>
      <w:pPr>
        <w:pStyle w:val="ListParagraph"/>
        <w:numPr>
          <w:ilvl w:val="0"/>
          <w:numId w:val="2"/>
        </w:numPr>
        <w:spacing w:after="70"/>
      </w:pPr>
      <w:r>
        <w:rPr>
          <w:color w:val="232323"/>
          <w:sz w:val="21"/>
          <w:szCs w:val="21"/>
        </w:rPr>
        <w:t xml:space="preserve">No match → user is routed to a "Request Access / Contact Admin" screen.</w:t>
      </w:r>
    </w:p>
    <w:p>
      <w:pPr>
        <w:pStyle w:val="Heading2"/>
        <w:spacing w:after="120" w:before="260"/>
      </w:pPr>
      <w:r>
        <w:rPr>
          <w:b/>
          <w:bCs/>
          <w:color w:val="0F7A6E"/>
          <w:sz w:val="24"/>
          <w:szCs w:val="24"/>
        </w:rPr>
        <w:t xml:space="preserve">5.2 Student Flow</w:t>
      </w:r>
    </w:p>
    <w:p>
      <w:pPr>
        <w:pStyle w:val="ListParagraph"/>
        <w:numPr>
          <w:ilvl w:val="0"/>
          <w:numId w:val="2"/>
        </w:numPr>
        <w:spacing w:after="70"/>
      </w:pPr>
      <w:r>
        <w:rPr>
          <w:color w:val="232323"/>
          <w:sz w:val="21"/>
          <w:szCs w:val="21"/>
        </w:rPr>
        <w:t xml:space="preserve">Lands on Student Dashboard: current score trend, weak topics, strong topics, today's study action.</w:t>
      </w:r>
    </w:p>
    <w:p>
      <w:pPr>
        <w:pStyle w:val="ListParagraph"/>
        <w:numPr>
          <w:ilvl w:val="0"/>
          <w:numId w:val="2"/>
        </w:numPr>
        <w:spacing w:after="70"/>
      </w:pPr>
      <w:r>
        <w:rPr>
          <w:color w:val="232323"/>
          <w:sz w:val="21"/>
          <w:szCs w:val="21"/>
        </w:rPr>
        <w:t xml:space="preserve">Opens "What to study today" → sees a prioritized list generated from weak-topic data.</w:t>
      </w:r>
    </w:p>
    <w:p>
      <w:pPr>
        <w:pStyle w:val="ListParagraph"/>
        <w:numPr>
          <w:ilvl w:val="0"/>
          <w:numId w:val="2"/>
        </w:numPr>
        <w:spacing w:after="70"/>
      </w:pPr>
      <w:r>
        <w:rPr>
          <w:color w:val="232323"/>
          <w:sz w:val="21"/>
          <w:szCs w:val="21"/>
        </w:rPr>
        <w:t xml:space="preserve">Completes a practice assignment generated from current weaknesses; submission is logged.</w:t>
      </w:r>
    </w:p>
    <w:p>
      <w:pPr>
        <w:pStyle w:val="ListParagraph"/>
        <w:numPr>
          <w:ilvl w:val="0"/>
          <w:numId w:val="2"/>
        </w:numPr>
        <w:spacing w:after="70"/>
      </w:pPr>
      <w:r>
        <w:rPr>
          <w:color w:val="232323"/>
          <w:sz w:val="21"/>
          <w:szCs w:val="21"/>
        </w:rPr>
        <w:t xml:space="preserve">Raises a doubt (text, photo, or voice) → doubt becomes a ticket routed to the subject teacher.</w:t>
      </w:r>
    </w:p>
    <w:p>
      <w:pPr>
        <w:pStyle w:val="ListParagraph"/>
        <w:numPr>
          <w:ilvl w:val="0"/>
          <w:numId w:val="2"/>
        </w:numPr>
        <w:spacing w:after="70"/>
      </w:pPr>
      <w:r>
        <w:rPr>
          <w:color w:val="232323"/>
          <w:sz w:val="21"/>
          <w:szCs w:val="21"/>
        </w:rPr>
        <w:t xml:space="preserve">After the next test, opens the improvement sheet to see mistake history and progress trend.</w:t>
      </w:r>
    </w:p>
    <w:p>
      <w:pPr>
        <w:pStyle w:val="Heading2"/>
        <w:spacing w:after="120" w:before="260"/>
      </w:pPr>
      <w:r>
        <w:rPr>
          <w:b/>
          <w:bCs/>
          <w:color w:val="0F7A6E"/>
          <w:sz w:val="24"/>
          <w:szCs w:val="24"/>
        </w:rPr>
        <w:t xml:space="preserve">5.3 Teacher Flow</w:t>
      </w:r>
    </w:p>
    <w:p>
      <w:pPr>
        <w:pStyle w:val="ListParagraph"/>
        <w:numPr>
          <w:ilvl w:val="0"/>
          <w:numId w:val="2"/>
        </w:numPr>
        <w:spacing w:after="70"/>
      </w:pPr>
      <w:r>
        <w:rPr>
          <w:color w:val="232323"/>
          <w:sz w:val="21"/>
          <w:szCs w:val="21"/>
        </w:rPr>
        <w:t xml:space="preserve">Lands on Teacher Dashboard: class summary, pending evaluations, pending doubts, top-risk students.</w:t>
      </w:r>
    </w:p>
    <w:p>
      <w:pPr>
        <w:pStyle w:val="ListParagraph"/>
        <w:numPr>
          <w:ilvl w:val="0"/>
          <w:numId w:val="2"/>
        </w:numPr>
        <w:spacing w:after="70"/>
      </w:pPr>
      <w:r>
        <w:rPr>
          <w:color w:val="232323"/>
          <w:sz w:val="21"/>
          <w:szCs w:val="21"/>
        </w:rPr>
        <w:t xml:space="preserve">Builds a paper using the Blueprint Builder (topics, marks, difficulty, coverage rules) and submits for approval.</w:t>
      </w:r>
    </w:p>
    <w:p>
      <w:pPr>
        <w:pStyle w:val="ListParagraph"/>
        <w:numPr>
          <w:ilvl w:val="0"/>
          <w:numId w:val="2"/>
        </w:numPr>
        <w:spacing w:after="70"/>
      </w:pPr>
      <w:r>
        <w:rPr>
          <w:color w:val="232323"/>
          <w:sz w:val="21"/>
          <w:szCs w:val="21"/>
        </w:rPr>
        <w:t xml:space="preserve">Captures marks using the fastest available mode (grid entry, photo, OMR, or CSV import).</w:t>
      </w:r>
    </w:p>
    <w:p>
      <w:pPr>
        <w:pStyle w:val="ListParagraph"/>
        <w:numPr>
          <w:ilvl w:val="0"/>
          <w:numId w:val="2"/>
        </w:numPr>
        <w:spacing w:after="70"/>
      </w:pPr>
      <w:r>
        <w:rPr>
          <w:color w:val="232323"/>
          <w:sz w:val="21"/>
          <w:szCs w:val="21"/>
        </w:rPr>
        <w:t xml:space="preserve">Tags errors (concept, formula, calculation, careless, not attempted) during evaluation.</w:t>
      </w:r>
    </w:p>
    <w:p>
      <w:pPr>
        <w:pStyle w:val="ListParagraph"/>
        <w:numPr>
          <w:ilvl w:val="0"/>
          <w:numId w:val="2"/>
        </w:numPr>
        <w:spacing w:after="70"/>
      </w:pPr>
      <w:r>
        <w:rPr>
          <w:color w:val="232323"/>
          <w:sz w:val="21"/>
          <w:szCs w:val="21"/>
        </w:rPr>
        <w:t xml:space="preserve">Reviews auto-grouped weak-student clusters and approves a remedial class or assignment.</w:t>
      </w:r>
    </w:p>
    <w:p>
      <w:pPr>
        <w:pStyle w:val="Heading2"/>
        <w:spacing w:after="120" w:before="260"/>
      </w:pPr>
      <w:r>
        <w:rPr>
          <w:b/>
          <w:bCs/>
          <w:color w:val="0F7A6E"/>
          <w:sz w:val="24"/>
          <w:szCs w:val="24"/>
        </w:rPr>
        <w:t xml:space="preserve">5.4 Admin Flow</w:t>
      </w:r>
    </w:p>
    <w:p>
      <w:pPr>
        <w:pStyle w:val="ListParagraph"/>
        <w:numPr>
          <w:ilvl w:val="0"/>
          <w:numId w:val="2"/>
        </w:numPr>
        <w:spacing w:after="70"/>
      </w:pPr>
      <w:r>
        <w:rPr>
          <w:color w:val="232323"/>
          <w:sz w:val="21"/>
          <w:szCs w:val="21"/>
        </w:rPr>
        <w:t xml:space="preserve">Lands on Admin Dashboard: institute health, batch comparison, exam status, at-risk alerts.</w:t>
      </w:r>
    </w:p>
    <w:p>
      <w:pPr>
        <w:pStyle w:val="ListParagraph"/>
        <w:numPr>
          <w:ilvl w:val="0"/>
          <w:numId w:val="2"/>
        </w:numPr>
        <w:spacing w:after="70"/>
      </w:pPr>
      <w:r>
        <w:rPr>
          <w:color w:val="232323"/>
          <w:sz w:val="21"/>
          <w:szCs w:val="21"/>
        </w:rPr>
        <w:t xml:space="preserve">Reviews and approves exam blueprints and paper publishing requests.</w:t>
      </w:r>
    </w:p>
    <w:p>
      <w:pPr>
        <w:pStyle w:val="ListParagraph"/>
        <w:numPr>
          <w:ilvl w:val="0"/>
          <w:numId w:val="2"/>
        </w:numPr>
        <w:spacing w:after="70"/>
      </w:pPr>
      <w:r>
        <w:rPr>
          <w:color w:val="232323"/>
          <w:sz w:val="21"/>
          <w:szCs w:val="21"/>
        </w:rPr>
        <w:t xml:space="preserve">Monitors teacher workload and syllabus completion trends across batches.</w:t>
      </w:r>
    </w:p>
    <w:p>
      <w:pPr>
        <w:pStyle w:val="ListParagraph"/>
        <w:numPr>
          <w:ilvl w:val="0"/>
          <w:numId w:val="2"/>
        </w:numPr>
        <w:spacing w:after="70"/>
      </w:pPr>
      <w:r>
        <w:rPr>
          <w:color w:val="232323"/>
          <w:sz w:val="21"/>
          <w:szCs w:val="21"/>
        </w:rPr>
        <w:t xml:space="preserve">Sends institute-wide notices and reviews audit logs for critical changes.</w:t>
      </w:r>
    </w:p>
    <w:p>
      <w:pPr>
        <w:pStyle w:val="Heading2"/>
        <w:spacing w:after="120" w:before="260"/>
      </w:pPr>
      <w:r>
        <w:rPr>
          <w:b/>
          <w:bCs/>
          <w:color w:val="0F7A6E"/>
          <w:sz w:val="24"/>
          <w:szCs w:val="24"/>
        </w:rPr>
        <w:t xml:space="preserve">5.5 Founder Flow</w:t>
      </w:r>
    </w:p>
    <w:p>
      <w:pPr>
        <w:pStyle w:val="ListParagraph"/>
        <w:numPr>
          <w:ilvl w:val="0"/>
          <w:numId w:val="2"/>
        </w:numPr>
        <w:spacing w:after="70"/>
      </w:pPr>
      <w:r>
        <w:rPr>
          <w:color w:val="232323"/>
          <w:sz w:val="21"/>
          <w:szCs w:val="21"/>
        </w:rPr>
        <w:t xml:space="preserve">Lands on the multi-institute overview: usage analytics, growth visibility, support load.</w:t>
      </w:r>
    </w:p>
    <w:p>
      <w:pPr>
        <w:pStyle w:val="ListParagraph"/>
        <w:numPr>
          <w:ilvl w:val="0"/>
          <w:numId w:val="2"/>
        </w:numPr>
        <w:spacing w:after="70"/>
      </w:pPr>
      <w:r>
        <w:rPr>
          <w:color w:val="232323"/>
          <w:sz w:val="21"/>
          <w:szCs w:val="21"/>
        </w:rPr>
        <w:t xml:space="preserve">Drills into any single institute to see tenant-level health and bottlenecks.</w:t>
      </w:r>
    </w:p>
    <w:p>
      <w:pPr>
        <w:pStyle w:val="ListParagraph"/>
        <w:numPr>
          <w:ilvl w:val="0"/>
          <w:numId w:val="2"/>
        </w:numPr>
        <w:spacing w:after="70"/>
      </w:pPr>
      <w:r>
        <w:rPr>
          <w:color w:val="232323"/>
          <w:sz w:val="21"/>
          <w:szCs w:val="21"/>
        </w:rPr>
        <w:t xml:space="preserve">Manages global templates, global settings, and cross-institute access rules.</w:t>
      </w:r>
    </w:p>
    <w:p>
      <w:pPr>
        <w:pStyle w:val="Heading1"/>
        <w:pBdr>
          <w:bottom w:val="single" w:color="0F7A6E" w:sz="6" w:space="4"/>
        </w:pBdr>
        <w:spacing w:after="160" w:before="320"/>
      </w:pPr>
      <w:r>
        <w:rPr>
          <w:b/>
          <w:bCs/>
          <w:color w:val="1B2A4A"/>
          <w:sz w:val="30"/>
          <w:szCs w:val="30"/>
        </w:rPr>
        <w:t xml:space="preserve">6. What the MVP Looks Like</w:t>
      </w:r>
    </w:p>
    <w:p>
      <w:pPr>
        <w:spacing w:after="120" w:line="300"/>
      </w:pPr>
      <w:r>
        <w:rPr>
          <w:i w:val="false"/>
          <w:iCs w:val="false"/>
          <w:color w:val="232323"/>
          <w:sz w:val="21"/>
          <w:szCs w:val="21"/>
        </w:rPr>
        <w:t xml:space="preserve">The MVP proves one thing: that a test can produce an improvement plan, without adding work for the teacher. It includes four roles (Student, Teacher, Admin, Founder), Google-based login, the core academic loop — exam setting, paper making, marks capture, student analysis, and dashboards — plus the foundation pieces that keep the product trustworthy from day one: Communication Center, role-based permissions, Audit Logs, and Institute Analytics.</w:t>
      </w:r>
    </w:p>
    <w:p>
      <w:pPr>
        <w:pStyle w:val="Heading1"/>
        <w:pBdr>
          <w:bottom w:val="single" w:color="0F7A6E" w:sz="6" w:space="4"/>
        </w:pBdr>
        <w:spacing w:after="160" w:before="320"/>
      </w:pPr>
      <w:r>
        <w:rPr>
          <w:b/>
          <w:bCs/>
          <w:color w:val="1B2A4A"/>
          <w:sz w:val="30"/>
          <w:szCs w:val="30"/>
        </w:rPr>
        <w:t xml:space="preserve">7. Success Metrics</w:t>
      </w:r>
    </w:p>
    <w:tbl>
      <w:tblPr>
        <w:tblW w:type="dxa" w:w="10000"/>
        <w:tblBorders>
          <w:top w:val="single" w:color="D8DCE1" w:sz="2"/>
          <w:left w:val="single" w:color="D8DCE1" w:sz="2"/>
          <w:bottom w:val="single" w:color="D8DCE1" w:sz="2"/>
          <w:right w:val="single" w:color="D8DCE1" w:sz="2"/>
          <w:insideH w:val="single" w:color="D8DCE1" w:sz="2"/>
          <w:insideV w:val="single" w:color="D8DCE1" w:sz="2"/>
        </w:tblBorders>
      </w:tblPr>
      <w:tblGrid>
        <w:gridCol w:w="2600"/>
        <w:gridCol w:w="7400"/>
      </w:tblGrid>
      <w:tr>
        <w:trPr>
          <w:tblHeader/>
        </w:trPr>
        <w:tc>
          <w:tcPr>
            <w:tcW w:type="dxa" w:w="2600"/>
            <w:shd w:fill="0F7A6E" w:val="clear"/>
            <w:tcMar>
              <w:top w:type="dxa" w:w="80"/>
              <w:left w:type="dxa" w:w="100"/>
              <w:bottom w:type="dxa" w:w="80"/>
              <w:right w:type="dxa" w:w="100"/>
            </w:tcMar>
            <w:vAlign w:val="center"/>
          </w:tcPr>
          <w:p>
            <w:r>
              <w:rPr>
                <w:b/>
                <w:bCs/>
                <w:color w:val="FFFFFF"/>
                <w:sz w:val="19"/>
                <w:szCs w:val="19"/>
              </w:rPr>
              <w:t xml:space="preserve">Metric</w:t>
            </w:r>
          </w:p>
        </w:tc>
        <w:tc>
          <w:tcPr>
            <w:tcW w:type="dxa" w:w="7400"/>
            <w:shd w:fill="0F7A6E" w:val="clear"/>
            <w:tcMar>
              <w:top w:type="dxa" w:w="80"/>
              <w:left w:type="dxa" w:w="100"/>
              <w:bottom w:type="dxa" w:w="80"/>
              <w:right w:type="dxa" w:w="100"/>
            </w:tcMar>
            <w:vAlign w:val="center"/>
          </w:tcPr>
          <w:p>
            <w:r>
              <w:rPr>
                <w:b/>
                <w:bCs/>
                <w:color w:val="FFFFFF"/>
                <w:sz w:val="19"/>
                <w:szCs w:val="19"/>
              </w:rPr>
              <w:t xml:space="preserve">How it's measured</w:t>
            </w:r>
          </w:p>
        </w:tc>
      </w:tr>
      <w:tr>
        <w:tc>
          <w:tcPr>
            <w:tcW w:type="dxa" w:w="2600"/>
            <w:tcMar>
              <w:top w:type="dxa" w:w="80"/>
              <w:left w:type="dxa" w:w="100"/>
              <w:bottom w:type="dxa" w:w="80"/>
              <w:right w:type="dxa" w:w="100"/>
            </w:tcMar>
            <w:vAlign w:val="center"/>
          </w:tcPr>
          <w:p>
            <w:r>
              <w:rPr>
                <w:b w:val="false"/>
                <w:bCs w:val="false"/>
                <w:color w:val="232323"/>
                <w:sz w:val="19"/>
                <w:szCs w:val="19"/>
              </w:rPr>
              <w:t xml:space="preserve">Adoption</w:t>
            </w:r>
          </w:p>
        </w:tc>
        <w:tc>
          <w:tcPr>
            <w:tcW w:type="dxa" w:w="7400"/>
            <w:tcMar>
              <w:top w:type="dxa" w:w="80"/>
              <w:left w:type="dxa" w:w="100"/>
              <w:bottom w:type="dxa" w:w="80"/>
              <w:right w:type="dxa" w:w="100"/>
            </w:tcMar>
            <w:vAlign w:val="center"/>
          </w:tcPr>
          <w:p>
            <w:r>
              <w:rPr>
                <w:b w:val="false"/>
                <w:bCs w:val="false"/>
                <w:color w:val="232323"/>
                <w:sz w:val="19"/>
                <w:szCs w:val="19"/>
              </w:rPr>
              <w:t xml:space="preserve">% of teachers actively capturing marks digitally within 30 days of onboarding</w:t>
            </w:r>
          </w:p>
        </w:tc>
      </w:tr>
      <w:tr>
        <w:tc>
          <w:tcPr>
            <w:tcW w:type="dxa" w:w="2600"/>
            <w:shd w:fill="EAF2F1" w:val="clear"/>
            <w:tcMar>
              <w:top w:type="dxa" w:w="80"/>
              <w:left w:type="dxa" w:w="100"/>
              <w:bottom w:type="dxa" w:w="80"/>
              <w:right w:type="dxa" w:w="100"/>
            </w:tcMar>
            <w:vAlign w:val="center"/>
          </w:tcPr>
          <w:p>
            <w:r>
              <w:rPr>
                <w:b w:val="false"/>
                <w:bCs w:val="false"/>
                <w:color w:val="232323"/>
                <w:sz w:val="19"/>
                <w:szCs w:val="19"/>
              </w:rPr>
              <w:t xml:space="preserve">Time saved</w:t>
            </w:r>
          </w:p>
        </w:tc>
        <w:tc>
          <w:tcPr>
            <w:tcW w:type="dxa" w:w="7400"/>
            <w:shd w:fill="EAF2F1" w:val="clear"/>
            <w:tcMar>
              <w:top w:type="dxa" w:w="80"/>
              <w:left w:type="dxa" w:w="100"/>
              <w:bottom w:type="dxa" w:w="80"/>
              <w:right w:type="dxa" w:w="100"/>
            </w:tcMar>
            <w:vAlign w:val="center"/>
          </w:tcPr>
          <w:p>
            <w:r>
              <w:rPr>
                <w:b w:val="false"/>
                <w:bCs w:val="false"/>
                <w:color w:val="232323"/>
                <w:sz w:val="19"/>
                <w:szCs w:val="19"/>
              </w:rPr>
              <w:t xml:space="preserve">Average time from exam completion to marks-published, compared to the institute's previous process</w:t>
            </w:r>
          </w:p>
        </w:tc>
      </w:tr>
      <w:tr>
        <w:tc>
          <w:tcPr>
            <w:tcW w:type="dxa" w:w="2600"/>
            <w:tcMar>
              <w:top w:type="dxa" w:w="80"/>
              <w:left w:type="dxa" w:w="100"/>
              <w:bottom w:type="dxa" w:w="80"/>
              <w:right w:type="dxa" w:w="100"/>
            </w:tcMar>
            <w:vAlign w:val="center"/>
          </w:tcPr>
          <w:p>
            <w:r>
              <w:rPr>
                <w:b w:val="false"/>
                <w:bCs w:val="false"/>
                <w:color w:val="232323"/>
                <w:sz w:val="19"/>
                <w:szCs w:val="19"/>
              </w:rPr>
              <w:t xml:space="preserve">Academic impact</w:t>
            </w:r>
          </w:p>
        </w:tc>
        <w:tc>
          <w:tcPr>
            <w:tcW w:type="dxa" w:w="7400"/>
            <w:tcMar>
              <w:top w:type="dxa" w:w="80"/>
              <w:left w:type="dxa" w:w="100"/>
              <w:bottom w:type="dxa" w:w="80"/>
              <w:right w:type="dxa" w:w="100"/>
            </w:tcMar>
            <w:vAlign w:val="center"/>
          </w:tcPr>
          <w:p>
            <w:r>
              <w:rPr>
                <w:b w:val="false"/>
                <w:bCs w:val="false"/>
                <w:color w:val="232323"/>
                <w:sz w:val="19"/>
                <w:szCs w:val="19"/>
              </w:rPr>
              <w:t xml:space="preserve">% of students showing measurable improvement in a previously weak topic within one term</w:t>
            </w:r>
          </w:p>
        </w:tc>
      </w:tr>
      <w:tr>
        <w:tc>
          <w:tcPr>
            <w:tcW w:type="dxa" w:w="2600"/>
            <w:shd w:fill="EAF2F1" w:val="clear"/>
            <w:tcMar>
              <w:top w:type="dxa" w:w="80"/>
              <w:left w:type="dxa" w:w="100"/>
              <w:bottom w:type="dxa" w:w="80"/>
              <w:right w:type="dxa" w:w="100"/>
            </w:tcMar>
            <w:vAlign w:val="center"/>
          </w:tcPr>
          <w:p>
            <w:r>
              <w:rPr>
                <w:b w:val="false"/>
                <w:bCs w:val="false"/>
                <w:color w:val="232323"/>
                <w:sz w:val="19"/>
                <w:szCs w:val="19"/>
              </w:rPr>
              <w:t xml:space="preserve">Engagement</w:t>
            </w:r>
          </w:p>
        </w:tc>
        <w:tc>
          <w:tcPr>
            <w:tcW w:type="dxa" w:w="7400"/>
            <w:shd w:fill="EAF2F1" w:val="clear"/>
            <w:tcMar>
              <w:top w:type="dxa" w:w="80"/>
              <w:left w:type="dxa" w:w="100"/>
              <w:bottom w:type="dxa" w:w="80"/>
              <w:right w:type="dxa" w:w="100"/>
            </w:tcMar>
            <w:vAlign w:val="center"/>
          </w:tcPr>
          <w:p>
            <w:r>
              <w:rPr>
                <w:b w:val="false"/>
                <w:bCs w:val="false"/>
                <w:color w:val="232323"/>
                <w:sz w:val="19"/>
                <w:szCs w:val="19"/>
              </w:rPr>
              <w:t xml:space="preserve">Weekly active students and teachers per institute</w:t>
            </w:r>
          </w:p>
        </w:tc>
      </w:tr>
      <w:tr>
        <w:tc>
          <w:tcPr>
            <w:tcW w:type="dxa" w:w="2600"/>
            <w:tcMar>
              <w:top w:type="dxa" w:w="80"/>
              <w:left w:type="dxa" w:w="100"/>
              <w:bottom w:type="dxa" w:w="80"/>
              <w:right w:type="dxa" w:w="100"/>
            </w:tcMar>
            <w:vAlign w:val="center"/>
          </w:tcPr>
          <w:p>
            <w:r>
              <w:rPr>
                <w:b w:val="false"/>
                <w:bCs w:val="false"/>
                <w:color w:val="232323"/>
                <w:sz w:val="19"/>
                <w:szCs w:val="19"/>
              </w:rPr>
              <w:t xml:space="preserve">Retention</w:t>
            </w:r>
          </w:p>
        </w:tc>
        <w:tc>
          <w:tcPr>
            <w:tcW w:type="dxa" w:w="7400"/>
            <w:tcMar>
              <w:top w:type="dxa" w:w="80"/>
              <w:left w:type="dxa" w:w="100"/>
              <w:bottom w:type="dxa" w:w="80"/>
              <w:right w:type="dxa" w:w="100"/>
            </w:tcMar>
            <w:vAlign w:val="center"/>
          </w:tcPr>
          <w:p>
            <w:r>
              <w:rPr>
                <w:b w:val="false"/>
                <w:bCs w:val="false"/>
                <w:color w:val="232323"/>
                <w:sz w:val="19"/>
                <w:szCs w:val="19"/>
              </w:rPr>
              <w:t xml:space="preserve">Institute renewal rate and student re-enrollment rate</w:t>
            </w:r>
          </w:p>
        </w:tc>
      </w:tr>
      <w:tr>
        <w:tc>
          <w:tcPr>
            <w:tcW w:type="dxa" w:w="2600"/>
            <w:shd w:fill="EAF2F1" w:val="clear"/>
            <w:tcMar>
              <w:top w:type="dxa" w:w="80"/>
              <w:left w:type="dxa" w:w="100"/>
              <w:bottom w:type="dxa" w:w="80"/>
              <w:right w:type="dxa" w:w="100"/>
            </w:tcMar>
            <w:vAlign w:val="center"/>
          </w:tcPr>
          <w:p>
            <w:r>
              <w:rPr>
                <w:b w:val="false"/>
                <w:bCs w:val="false"/>
                <w:color w:val="232323"/>
                <w:sz w:val="19"/>
                <w:szCs w:val="19"/>
              </w:rPr>
              <w:t xml:space="preserve">Trust</w:t>
            </w:r>
          </w:p>
        </w:tc>
        <w:tc>
          <w:tcPr>
            <w:tcW w:type="dxa" w:w="7400"/>
            <w:shd w:fill="EAF2F1" w:val="clear"/>
            <w:tcMar>
              <w:top w:type="dxa" w:w="80"/>
              <w:left w:type="dxa" w:w="100"/>
              <w:bottom w:type="dxa" w:w="80"/>
              <w:right w:type="dxa" w:w="100"/>
            </w:tcMar>
            <w:vAlign w:val="center"/>
          </w:tcPr>
          <w:p>
            <w:r>
              <w:rPr>
                <w:b w:val="false"/>
                <w:bCs w:val="false"/>
                <w:color w:val="232323"/>
                <w:sz w:val="19"/>
                <w:szCs w:val="19"/>
              </w:rPr>
              <w:t xml:space="preserve">Number of disputes or corrections traced and resolved via audit logs</w:t>
            </w:r>
          </w:p>
        </w:tc>
      </w:tr>
    </w:tbl>
    <w:p>
      <w:pPr>
        <w:pStyle w:val="Heading1"/>
        <w:pBdr>
          <w:bottom w:val="single" w:color="0F7A6E" w:sz="6" w:space="4"/>
        </w:pBdr>
        <w:spacing w:after="160" w:before="320"/>
      </w:pPr>
      <w:r>
        <w:rPr>
          <w:b/>
          <w:bCs/>
          <w:color w:val="1B2A4A"/>
          <w:sz w:val="30"/>
          <w:szCs w:val="30"/>
        </w:rPr>
        <w:t xml:space="preserve">8. What We Are Deliberately NOT Building in Version 1</w:t>
      </w:r>
    </w:p>
    <w:p>
      <w:pPr>
        <w:spacing w:after="120" w:line="300"/>
      </w:pPr>
      <w:r>
        <w:rPr>
          <w:i w:val="false"/>
          <w:iCs w:val="false"/>
          <w:color w:val="232323"/>
          <w:sz w:val="21"/>
          <w:szCs w:val="21"/>
        </w:rPr>
        <w:t xml:space="preserve">These are valuable, but including them now would delay proving the core academic loop. They are scheduled for later expansion:</w:t>
      </w:r>
    </w:p>
    <w:p>
      <w:pPr>
        <w:pStyle w:val="ListParagraph"/>
        <w:numPr>
          <w:ilvl w:val="0"/>
          <w:numId w:val="2"/>
        </w:numPr>
        <w:spacing w:after="70"/>
      </w:pPr>
      <w:r>
        <w:rPr>
          <w:color w:val="232323"/>
          <w:sz w:val="21"/>
          <w:szCs w:val="21"/>
        </w:rPr>
        <w:t xml:space="preserve">Attendance management</w:t>
      </w:r>
    </w:p>
    <w:p>
      <w:pPr>
        <w:pStyle w:val="ListParagraph"/>
        <w:numPr>
          <w:ilvl w:val="0"/>
          <w:numId w:val="2"/>
        </w:numPr>
        <w:spacing w:after="70"/>
      </w:pPr>
      <w:r>
        <w:rPr>
          <w:color w:val="232323"/>
          <w:sz w:val="21"/>
          <w:szCs w:val="21"/>
        </w:rPr>
        <w:t xml:space="preserve">Parent portal</w:t>
      </w:r>
    </w:p>
    <w:p>
      <w:pPr>
        <w:pStyle w:val="ListParagraph"/>
        <w:numPr>
          <w:ilvl w:val="0"/>
          <w:numId w:val="2"/>
        </w:numPr>
        <w:spacing w:after="70"/>
      </w:pPr>
      <w:r>
        <w:rPr>
          <w:color w:val="232323"/>
          <w:sz w:val="21"/>
          <w:szCs w:val="21"/>
        </w:rPr>
        <w:t xml:space="preserve">Fees and billing</w:t>
      </w:r>
    </w:p>
    <w:p>
      <w:pPr>
        <w:pStyle w:val="ListParagraph"/>
        <w:numPr>
          <w:ilvl w:val="0"/>
          <w:numId w:val="2"/>
        </w:numPr>
        <w:spacing w:after="70"/>
      </w:pPr>
      <w:r>
        <w:rPr>
          <w:color w:val="232323"/>
          <w:sz w:val="21"/>
          <w:szCs w:val="21"/>
        </w:rPr>
        <w:t xml:space="preserve">Admission pipeline / CRM</w:t>
      </w:r>
    </w:p>
    <w:p>
      <w:pPr>
        <w:pStyle w:val="ListParagraph"/>
        <w:numPr>
          <w:ilvl w:val="0"/>
          <w:numId w:val="2"/>
        </w:numPr>
        <w:spacing w:after="70"/>
      </w:pPr>
      <w:r>
        <w:rPr>
          <w:color w:val="232323"/>
          <w:sz w:val="21"/>
          <w:szCs w:val="21"/>
        </w:rPr>
        <w:t xml:space="preserve">Transport / hostel / inventory</w:t>
      </w:r>
    </w:p>
    <w:p>
      <w:pPr>
        <w:pStyle w:val="ListParagraph"/>
        <w:numPr>
          <w:ilvl w:val="0"/>
          <w:numId w:val="2"/>
        </w:numPr>
        <w:spacing w:after="70"/>
      </w:pPr>
      <w:r>
        <w:rPr>
          <w:color w:val="232323"/>
          <w:sz w:val="21"/>
          <w:szCs w:val="21"/>
        </w:rPr>
        <w:t xml:space="preserve">Content library / LMS-style notes</w:t>
      </w:r>
    </w:p>
    <w:p>
      <w:pPr>
        <w:pStyle w:val="ListParagraph"/>
        <w:numPr>
          <w:ilvl w:val="0"/>
          <w:numId w:val="2"/>
        </w:numPr>
        <w:spacing w:after="70"/>
      </w:pPr>
      <w:r>
        <w:rPr>
          <w:color w:val="232323"/>
          <w:sz w:val="21"/>
          <w:szCs w:val="21"/>
        </w:rPr>
        <w:t xml:space="preserve">Live classes / video library</w:t>
      </w:r>
    </w:p>
    <w:p>
      <w:pPr>
        <w:pStyle w:val="ListParagraph"/>
        <w:numPr>
          <w:ilvl w:val="0"/>
          <w:numId w:val="2"/>
        </w:numPr>
        <w:spacing w:after="70"/>
      </w:pPr>
      <w:r>
        <w:rPr>
          <w:color w:val="232323"/>
          <w:sz w:val="21"/>
          <w:szCs w:val="21"/>
        </w:rPr>
        <w:t xml:space="preserve">Certification and progress badges</w:t>
      </w:r>
    </w:p>
    <w:p>
      <w:pPr>
        <w:spacing w:after="120" w:line="300"/>
      </w:pPr>
      <w:r>
        <w:rPr>
          <w:i/>
          <w:iCs/>
          <w:color w:val="232323"/>
          <w:sz w:val="21"/>
          <w:szCs w:val="21"/>
        </w:rPr>
        <w:t xml:space="preserve">The first release should prove that tests can create action, not just scores.</w:t>
      </w:r>
    </w:p>
    <w:sectPr>
      <w:foot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AIOS — Product Requirements Document   |   Page </w:t>
    </w:r>
    <w:r>
      <w:rPr>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2026-07-28T18:22:18.107Z</dcterms:created>
  <dcterms:modified xsi:type="dcterms:W3CDTF">2026-07-28T18:22:18.120Z</dcterms:modified>
</cp:coreProperties>
</file>

<file path=docProps/custom.xml><?xml version="1.0" encoding="utf-8"?>
<Properties xmlns="http://schemas.openxmlformats.org/officeDocument/2006/custom-properties" xmlns:vt="http://schemas.openxmlformats.org/officeDocument/2006/docPropsVTypes"/>
</file>