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0F7A6E"/>
          <w:sz w:val="64"/>
          <w:szCs w:val="64"/>
        </w:rPr>
        <w:t xml:space="preserve">AIOS</w:t>
      </w:r>
    </w:p>
    <w:p>
      <w:pPr>
        <w:spacing w:after="400" w:before="100"/>
        <w:jc w:val="center"/>
      </w:pPr>
      <w:r>
        <w:rPr>
          <w:color w:val="5B6470"/>
          <w:sz w:val="26"/>
          <w:szCs w:val="26"/>
        </w:rPr>
        <w:t xml:space="preserve">Academic Intelligence Operating System</w:t>
      </w:r>
    </w:p>
    <w:p>
      <w:pPr>
        <w:spacing w:before="300"/>
        <w:jc w:val="center"/>
      </w:pPr>
      <w:r>
        <w:rPr>
          <w:b/>
          <w:bCs/>
          <w:color w:val="1B2A4A"/>
          <w:sz w:val="40"/>
          <w:szCs w:val="40"/>
        </w:rPr>
        <w:t xml:space="preserve">Technical Architecture Document</w:t>
      </w:r>
    </w:p>
    <w:p>
      <w:pPr>
        <w:spacing w:after="600" w:before="120"/>
        <w:jc w:val="center"/>
      </w:pPr>
      <w:r>
        <w:rPr>
          <w:i/>
          <w:iCs/>
          <w:color w:val="5B6470"/>
          <w:sz w:val="22"/>
          <w:szCs w:val="22"/>
        </w:rPr>
        <w:t xml:space="preserve">The engineering blueprint: stack, structure, schema, and configuration</w:t>
      </w:r>
    </w:p>
    <w:p>
      <w:pPr>
        <w:spacing w:before="800"/>
        <w:jc w:val="center"/>
      </w:pPr>
      <w:r>
        <w:rPr>
          <w:color w:val="5B6470"/>
          <w:sz w:val="19"/>
          <w:szCs w:val="19"/>
        </w:rPr>
        <w:t xml:space="preserve">Version 1.0  |  Prepared for Engineering Team</w:t>
      </w:r>
    </w:p>
    <w:p>
      <w:r>
        <w:br w:type="page"/>
      </w:r>
    </w:p>
    <w:p>
      <w:pPr>
        <w:pStyle w:val="Heading1"/>
        <w:pBdr>
          <w:bottom w:val="single" w:color="0F7A6E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1. Tech Stack</w:t>
      </w:r>
    </w:p>
    <w:p>
      <w:pPr>
        <w:spacing w:after="120" w:line="300"/>
      </w:pPr>
      <w:r>
        <w:rPr>
          <w:i w:val="false"/>
          <w:iCs w:val="false"/>
          <w:color w:val="232323"/>
          <w:sz w:val="21"/>
          <w:szCs w:val="21"/>
        </w:rPr>
        <w:t xml:space="preserve">Chosen for a multi-tenant SaaS that needs fast iteration, strong relational data (marks, questions, mastery scores are highly relational), and mobile-friendly usage for teachers.</w:t>
      </w:r>
    </w:p>
    <w:tbl>
      <w:tblPr>
        <w:tblW w:type="dxa" w:w="10000"/>
        <w:tblBorders>
          <w:top w:val="single" w:color="D8DCE1" w:sz="2"/>
          <w:left w:val="single" w:color="D8DCE1" w:sz="2"/>
          <w:bottom w:val="single" w:color="D8DCE1" w:sz="2"/>
          <w:right w:val="single" w:color="D8DCE1" w:sz="2"/>
          <w:insideH w:val="single" w:color="D8DCE1" w:sz="2"/>
          <w:insideV w:val="single" w:color="D8DCE1" w:sz="2"/>
        </w:tblBorders>
      </w:tblPr>
      <w:tblGrid>
        <w:gridCol w:w="1900"/>
        <w:gridCol w:w="2900"/>
        <w:gridCol w:w="5200"/>
      </w:tblGrid>
      <w:tr>
        <w:trPr>
          <w:tblHeader/>
        </w:trPr>
        <w:tc>
          <w:tcPr>
            <w:tcW w:type="dxa" w:w="19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9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52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Frontend (Web)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Next.js 14 (React 18) + TypeScript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Server-side rendering for fast dashboard loads, file-based routing, strong ecosystem for admin-style UIs.</w:t>
            </w:r>
          </w:p>
        </w:tc>
      </w:tr>
      <w:tr>
        <w:tc>
          <w:tcPr>
            <w:tcW w:type="dxa" w:w="19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Mobile-friendly</w:t>
            </w:r>
          </w:p>
        </w:tc>
        <w:tc>
          <w:tcPr>
            <w:tcW w:type="dxa" w:w="29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Responsive Tailwind CSS layout; optional React Native app in a later phase</w:t>
            </w:r>
          </w:p>
        </w:tc>
        <w:tc>
          <w:tcPr>
            <w:tcW w:type="dxa" w:w="52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Teachers need mobile-first evaluation flows (photo capture, quick mark entry).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Backend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Node.js (NestJS or Express) + TypeScript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Same language across stack; NestJS gives structured modules that match this platform's many domains (exams, marks, analytics).</w:t>
            </w:r>
          </w:p>
        </w:tc>
      </w:tr>
      <w:tr>
        <w:tc>
          <w:tcPr>
            <w:tcW w:type="dxa" w:w="19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Database</w:t>
            </w:r>
          </w:p>
        </w:tc>
        <w:tc>
          <w:tcPr>
            <w:tcW w:type="dxa" w:w="29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PostgreSQL (via Supabase or managed RDS)</w:t>
            </w:r>
          </w:p>
        </w:tc>
        <w:tc>
          <w:tcPr>
            <w:tcW w:type="dxa" w:w="52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Highly relational data — students, questions, papers, scores, mastery — needs real joins and constraints, not a document store.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Auth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Google OAuth 2.0 with server-side ID token verification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Matches the required Google-based login and institute email allow-list model.</w:t>
            </w:r>
          </w:p>
        </w:tc>
      </w:tr>
      <w:tr>
        <w:tc>
          <w:tcPr>
            <w:tcW w:type="dxa" w:w="19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File &amp; Media Storage</w:t>
            </w:r>
          </w:p>
        </w:tc>
        <w:tc>
          <w:tcPr>
            <w:tcW w:type="dxa" w:w="29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Supabase Storage or AWS S3</w:t>
            </w:r>
          </w:p>
        </w:tc>
        <w:tc>
          <w:tcPr>
            <w:tcW w:type="dxa" w:w="52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Answer-sheet photos, OMR scans, documents, and report PDFs.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Queue via BullMQ (Redis)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OMR processing, bulk imports, and AI analysis should run asynchronously, not block the request.</w:t>
            </w:r>
          </w:p>
        </w:tc>
      </w:tr>
      <w:tr>
        <w:tc>
          <w:tcPr>
            <w:tcW w:type="dxa" w:w="19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AI / Analysis Layer</w:t>
            </w:r>
          </w:p>
        </w:tc>
        <w:tc>
          <w:tcPr>
            <w:tcW w:type="dxa" w:w="29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OpenAI or equivalent LLM API + a rules/statistics layer for mastery scoring</w:t>
            </w:r>
          </w:p>
        </w:tc>
        <w:tc>
          <w:tcPr>
            <w:tcW w:type="dxa" w:w="52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Paper generation and explanations use the LLM; mastery scores and clustering use deterministic statistics for trust and explainability.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WhatsApp Business API, SendGrid (email), and an SMS gateway (e.g. MSG91)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Matches the multi-channel Communication Center requirement.</w:t>
            </w:r>
          </w:p>
        </w:tc>
      </w:tr>
      <w:tr>
        <w:tc>
          <w:tcPr>
            <w:tcW w:type="dxa" w:w="19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Hosting</w:t>
            </w:r>
          </w:p>
        </w:tc>
        <w:tc>
          <w:tcPr>
            <w:tcW w:type="dxa" w:w="29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Vercel (frontend) + AWS/Render (backend, workers, DB)</w:t>
            </w:r>
          </w:p>
        </w:tc>
        <w:tc>
          <w:tcPr>
            <w:tcW w:type="dxa" w:w="52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Fast frontend deploys; backend hosted where background workers and DB can live together.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Sentry (errors) + a managed Postgres dashboard for query health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Needed for a platform handling exam-day traffic spikes.</w:t>
            </w:r>
          </w:p>
        </w:tc>
      </w:tr>
    </w:tbl>
    <w:p>
      <w:pPr>
        <w:pStyle w:val="Heading1"/>
        <w:pBdr>
          <w:bottom w:val="single" w:color="0F7A6E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2. File &amp; Folder Structure</w:t>
      </w:r>
    </w:p>
    <w:p>
      <w:pPr>
        <w:spacing w:after="120" w:line="300"/>
      </w:pPr>
      <w:r>
        <w:rPr>
          <w:i w:val="false"/>
          <w:iCs w:val="false"/>
          <w:color w:val="232323"/>
          <w:sz w:val="21"/>
          <w:szCs w:val="21"/>
        </w:rPr>
        <w:t xml:space="preserve">A modular structure that mirrors the platform's domains, so any AI tool or developer can find where a feature belongs without guessing.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aios/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├── apps/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├── web/                     # Next.js frontend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│   ├── app/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│   │   ├── (auth)/          # login, request-access screens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│   │   ├── student/         # student dashboard &amp; flows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│   │   ├── teacher/         # teacher dashboard &amp; flows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│   │   ├── admin/           # admin dashboard &amp; flows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│   │   ├── founder/         # founder / super-admin workspace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│   │   └── shared/          # shared layout, nav, auth guards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│   ├── components/          # reusable UI (buttons, cards, tables)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│   ├── lib/                 # api client, hooks, formatters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│   └── styles/               # design tokens, tailwind config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└── api/                     # NestJS backend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    ├── src/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    │   ├── auth/            # Google OAuth, session, allow-list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    │   ├── institutes/      # institute, branch, tenancy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    │   ├── users/           # student, teacher, admin, founder profiles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    │   ├── timetable/       # timetable + conflict detection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    │   ├── exams/           # exam schedule, blueprint, approval flow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    │   ├── papers/          # paper maker, versioning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    │   ├── question-bank/   # questions, tags, quality score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    │   ├── marks/           # capture modes, evaluation, error tags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    │   ├── analysis/        # mastery scoring, clustering, prediction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    │   ├── learning-engine/ # recommendations, remedial plans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    │   ├── doubts/          # doubt funnel / ticketing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    │   ├── assignments/     # assignment allotment &amp; tracking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    │   ├── communication/   # notices, WhatsApp/email/SMS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    │   ├── reports/         # report generation, exports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    │   ├── audit/           # audit log middleware &amp; queries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    │   └── analytics/       # institute-level analytics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    └── workers/             # background jobs (OMR, imports, AI)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├── packages/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├── db/                      # Prisma schema &amp; migrations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├── ui/                      # shared design-system components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│   └── config/                  # shared eslint/tsconfig/env schema</w:t>
      </w:r>
    </w:p>
    <w:p>
      <w:pPr>
        <w:spacing w:after="0"/>
      </w:pPr>
      <w:r>
        <w:rPr>
          <w:rFonts w:ascii="Consolas" w:cs="Consolas" w:eastAsia="Consolas" w:hAnsi="Consolas"/>
          <w:color w:val="232323"/>
          <w:sz w:val="18"/>
          <w:szCs w:val="18"/>
        </w:rPr>
        <w:t xml:space="preserve">└── infra/                       # deployment configs, CI/CD</w:t>
      </w:r>
    </w:p>
    <w:p>
      <w:pPr>
        <w:spacing w:after="160"/>
      </w:pPr>
    </w:p>
    <w:p>
      <w:pPr>
        <w:pStyle w:val="Heading1"/>
        <w:pBdr>
          <w:bottom w:val="single" w:color="0F7A6E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3. Database Schema</w:t>
      </w:r>
    </w:p>
    <w:p>
      <w:pPr>
        <w:spacing w:after="120" w:line="300"/>
      </w:pPr>
      <w:r>
        <w:rPr>
          <w:i w:val="false"/>
          <w:iCs w:val="false"/>
          <w:color w:val="232323"/>
          <w:sz w:val="21"/>
          <w:szCs w:val="21"/>
        </w:rPr>
        <w:t xml:space="preserve">Described in plain English — each table, its key fields, and how it relates to the others. Full column-level detail (types, indexes) is finalized during implementation, but this is the structural contract every feature builds on.</w:t>
      </w:r>
    </w:p>
    <w:tbl>
      <w:tblPr>
        <w:tblW w:type="dxa" w:w="9000"/>
        <w:tblBorders>
          <w:top w:val="single" w:color="D8DCE1" w:sz="2"/>
          <w:left w:val="single" w:color="D8DCE1" w:sz="2"/>
          <w:bottom w:val="single" w:color="D8DCE1" w:sz="2"/>
          <w:right w:val="single" w:color="D8DCE1" w:sz="2"/>
          <w:insideH w:val="single" w:color="D8DCE1" w:sz="2"/>
          <w:insideV w:val="single" w:color="D8DCE1" w:sz="2"/>
        </w:tblBorders>
      </w:tblPr>
      <w:tblGrid>
        <w:gridCol w:w="2100"/>
        <w:gridCol w:w="4300"/>
        <w:gridCol w:w="2600"/>
      </w:tblGrid>
      <w:tr>
        <w:trPr>
          <w:tblHeader/>
        </w:trPr>
        <w:tc>
          <w:tcPr>
            <w:tcW w:type="dxa" w:w="21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3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26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institutes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Top-level tenant. Fields: id, name, domain_allowlist, plan, status, created_at.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Parent of branches, users, and all academic data.</w:t>
            </w:r>
          </w:p>
        </w:tc>
      </w:tr>
      <w:tr>
        <w:tc>
          <w:tcPr>
            <w:tcW w:type="dxa" w:w="2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branches</w:t>
            </w:r>
          </w:p>
        </w:tc>
        <w:tc>
          <w:tcPr>
            <w:tcW w:type="dxa" w:w="43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 physical or logical branch of an institute (optional for single-branch institutes).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Belongs to institutes.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users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id, name, email, google_sub, role, institute_id, status, created_at.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One row per human; role determines which dashboard loads.</w:t>
            </w:r>
          </w:p>
        </w:tc>
      </w:tr>
      <w:tr>
        <w:tc>
          <w:tcPr>
            <w:tcW w:type="dxa" w:w="2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roles / permissions</w:t>
            </w:r>
          </w:p>
        </w:tc>
        <w:tc>
          <w:tcPr>
            <w:tcW w:type="dxa" w:w="43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role name (student, teacher, admin, founder) mapped to a permission bundle.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Used by every API route for authorization.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batches / classes / sections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Groupings of students for timetable, exam, and analytics purposes.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Belongs to institute; students belong to a batch.</w:t>
            </w:r>
          </w:p>
        </w:tc>
      </w:tr>
      <w:tr>
        <w:tc>
          <w:tcPr>
            <w:tcW w:type="dxa" w:w="2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subjects / chapters / topics</w:t>
            </w:r>
          </w:p>
        </w:tc>
        <w:tc>
          <w:tcPr>
            <w:tcW w:type="dxa" w:w="43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Curriculum hierarchy: subject → chapter → topic → subtopic.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Referenced by questions, papers, and mastery scores.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questions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id, subject_id, chapter_id, topic_id, marks, difficulty, type, solution, quality_score.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Belongs to question bank; versioned.</w:t>
            </w:r>
          </w:p>
        </w:tc>
      </w:tr>
      <w:tr>
        <w:tc>
          <w:tcPr>
            <w:tcW w:type="dxa" w:w="2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question_versions</w:t>
            </w:r>
          </w:p>
        </w:tc>
        <w:tc>
          <w:tcPr>
            <w:tcW w:type="dxa" w:w="43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Historical versions of a question with approval status.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Belongs to questions.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blueprints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The plan for a paper: mark distribution, difficulty distribution, coverage rules.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Used to generate papers.</w:t>
            </w:r>
          </w:p>
        </w:tc>
      </w:tr>
      <w:tr>
        <w:tc>
          <w:tcPr>
            <w:tcW w:type="dxa" w:w="2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papers / paper_versions</w:t>
            </w:r>
          </w:p>
        </w:tc>
        <w:tc>
          <w:tcPr>
            <w:tcW w:type="dxa" w:w="43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id, blueprint_id, status (draft/approved/published), version number.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Belongs to an exam; has many versions for anti-cheating sets.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exams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id, institute_id, batch_id, type, blueprint_id, status (create→approve→publish→conduct→evaluate→lock), scheduled_date.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Central academic event linking papers, marks, and timetable.</w:t>
            </w:r>
          </w:p>
        </w:tc>
      </w:tr>
      <w:tr>
        <w:tc>
          <w:tcPr>
            <w:tcW w:type="dxa" w:w="2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answer_sheets / omr_captures</w:t>
            </w:r>
          </w:p>
        </w:tc>
        <w:tc>
          <w:tcPr>
            <w:tcW w:type="dxa" w:w="43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Captured student responses per exam, per capture mode.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Belongs to exams and students.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responses / score_records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Question-wise marks, part-wise marks, and mistake tags per student per exam.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The core raw data for analysis.</w:t>
            </w:r>
          </w:p>
        </w:tc>
      </w:tr>
      <w:tr>
        <w:tc>
          <w:tcPr>
            <w:tcW w:type="dxa" w:w="2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mistake_tags</w:t>
            </w:r>
          </w:p>
        </w:tc>
        <w:tc>
          <w:tcPr>
            <w:tcW w:type="dxa" w:w="43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concept_error, formula_error, calculation_error, careless, not_attempted, etc.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Attached to responses; drives weakness detection.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mastery_scores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student_id, topic_id, mastery_value, trend, last_updated.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Computed from score_records over time.</w:t>
            </w:r>
          </w:p>
        </w:tc>
      </w:tr>
      <w:tr>
        <w:tc>
          <w:tcPr>
            <w:tcW w:type="dxa" w:w="2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interventions</w:t>
            </w:r>
          </w:p>
        </w:tc>
        <w:tc>
          <w:tcPr>
            <w:tcW w:type="dxa" w:w="43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Remedial actions taken (extra class, assignment, doubt resolution) and their outcome.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Links students, topics, and improvement evidence.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assignments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id, batch_id or student_id, topic_id, due_date, status, submission data.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Generated from weak topics or created manually by a teacher.</w:t>
            </w:r>
          </w:p>
        </w:tc>
      </w:tr>
      <w:tr>
        <w:tc>
          <w:tcPr>
            <w:tcW w:type="dxa" w:w="2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doubt_tickets</w:t>
            </w:r>
          </w:p>
        </w:tc>
        <w:tc>
          <w:tcPr>
            <w:tcW w:type="dxa" w:w="43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id, student_id, subject_id, topic_id, urgency, status, assigned_teacher_id.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Tracks the doubt funnel end-to-end.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timetable_slots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id, institute_id, type (class/exam/revision/remedial), resource references, time range.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Used for scheduling and conflict detection.</w:t>
            </w:r>
          </w:p>
        </w:tc>
      </w:tr>
      <w:tr>
        <w:tc>
          <w:tcPr>
            <w:tcW w:type="dxa" w:w="2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notices</w:t>
            </w:r>
          </w:p>
        </w:tc>
        <w:tc>
          <w:tcPr>
            <w:tcW w:type="dxa" w:w="43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Institute communication records with channel and delivery status.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Belongs to institutes; references target audience.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reports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Generated report metadata (type, format, generated_for, file_url).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References students, batches, or teachers.</w:t>
            </w:r>
          </w:p>
        </w:tc>
      </w:tr>
      <w:tr>
        <w:tc>
          <w:tcPr>
            <w:tcW w:type="dxa" w:w="2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audit_logs</w:t>
            </w:r>
          </w:p>
        </w:tc>
        <w:tc>
          <w:tcPr>
            <w:tcW w:type="dxa" w:w="43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id, actor_id, action, entity, old_value, new_value, timestamp.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Cross-cuts every table that supports create/update/approve/delete.</w:t>
            </w:r>
          </w:p>
        </w:tc>
      </w:tr>
    </w:tbl>
    <w:p>
      <w:pPr>
        <w:pStyle w:val="Heading1"/>
        <w:pBdr>
          <w:bottom w:val="single" w:color="0F7A6E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4. Environment &amp; Config Notes</w:t>
      </w:r>
    </w:p>
    <w:p>
      <w:pPr>
        <w:spacing w:after="120" w:line="300"/>
      </w:pPr>
      <w:r>
        <w:rPr>
          <w:i w:val="false"/>
          <w:iCs w:val="false"/>
          <w:color w:val="232323"/>
          <w:sz w:val="21"/>
          <w:szCs w:val="21"/>
        </w:rPr>
        <w:t xml:space="preserve">These values must live in environment variables and never be hardcoded or committed to source control.</w:t>
      </w:r>
    </w:p>
    <w:tbl>
      <w:tblPr>
        <w:tblW w:type="dxa" w:w="9000"/>
        <w:tblBorders>
          <w:top w:val="single" w:color="D8DCE1" w:sz="2"/>
          <w:left w:val="single" w:color="D8DCE1" w:sz="2"/>
          <w:bottom w:val="single" w:color="D8DCE1" w:sz="2"/>
          <w:right w:val="single" w:color="D8DCE1" w:sz="2"/>
          <w:insideH w:val="single" w:color="D8DCE1" w:sz="2"/>
          <w:insideV w:val="single" w:color="D8DCE1" w:sz="2"/>
        </w:tblBorders>
      </w:tblPr>
      <w:tblGrid>
        <w:gridCol w:w="3700"/>
        <w:gridCol w:w="5300"/>
      </w:tblGrid>
      <w:tr>
        <w:trPr>
          <w:tblHeader/>
        </w:trPr>
        <w:tc>
          <w:tcPr>
            <w:tcW w:type="dxa" w:w="37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3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GOOGLE_CLIENT_ID / GOOGLE_CLIENT_SECRET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Google OAuth app credentials for institute login.</w:t>
            </w:r>
          </w:p>
        </w:tc>
      </w:tr>
      <w:tr>
        <w:tc>
          <w:tcPr>
            <w:tcW w:type="dxa" w:w="3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53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PostgreSQL connection string (per environment: dev/staging/prod).</w:t>
            </w:r>
          </w:p>
        </w:tc>
      </w:tr>
      <w:tr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JWT_SECRET / SESSION_SECRET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Signing keys for session tokens; rotate periodically.</w:t>
            </w:r>
          </w:p>
        </w:tc>
      </w:tr>
      <w:tr>
        <w:tc>
          <w:tcPr>
            <w:tcW w:type="dxa" w:w="3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OPENAI_API_KEY (or chosen LLM provider key)</w:t>
            </w:r>
          </w:p>
        </w:tc>
        <w:tc>
          <w:tcPr>
            <w:tcW w:type="dxa" w:w="53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Used only server-side for paper generation and explanations.</w:t>
            </w:r>
          </w:p>
        </w:tc>
      </w:tr>
      <w:tr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AWS_S3_BUCKET / AWS_ACCESS_KEY_ID / AWS_SECRET_ACCESS_KEY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File storage for answer sheets, OMR scans, and generated reports.</w:t>
            </w:r>
          </w:p>
        </w:tc>
      </w:tr>
      <w:tr>
        <w:tc>
          <w:tcPr>
            <w:tcW w:type="dxa" w:w="3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WHATSAPP_API_TOKEN, SENDGRID_API_KEY, SMS_GATEWAY_KEY</w:t>
            </w:r>
          </w:p>
        </w:tc>
        <w:tc>
          <w:tcPr>
            <w:tcW w:type="dxa" w:w="53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Communication Center channel credentials.</w:t>
            </w:r>
          </w:p>
        </w:tc>
      </w:tr>
      <w:tr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REDIS_URL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Background job queue connection.</w:t>
            </w:r>
          </w:p>
        </w:tc>
      </w:tr>
      <w:tr>
        <w:tc>
          <w:tcPr>
            <w:tcW w:type="dxa" w:w="3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SENTRY_DSN</w:t>
            </w:r>
          </w:p>
        </w:tc>
        <w:tc>
          <w:tcPr>
            <w:tcW w:type="dxa" w:w="53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Error monitoring.</w:t>
            </w:r>
          </w:p>
        </w:tc>
      </w:tr>
      <w:tr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NODE_ENV / APP_ENV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Controls environment-specific behavior (logging verbosity, allowed origins).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0F7A6E"/>
          <w:sz w:val="24"/>
          <w:szCs w:val="24"/>
        </w:rPr>
        <w:t xml:space="preserve">Config Principles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No secret or API key is ever committed to the repository — use .env files locally and a secrets manager (e.g. AWS Secrets Manager) in production.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Each institute's domain allow-list is stored as data, not as code, so onboarding a new institute never requires a deployment.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Separate environments (dev, staging, production) use separate databases and separate OAuth credentials.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All file uploads are validated for type and size before storage; nothing is executed from uploaded content.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0"/>
        <w:sz w:val="16"/>
        <w:szCs w:val="16"/>
      </w:rPr>
      <w:t xml:space="preserve">AIOS — Technical Architecture Document   |   Page </w:t>
    </w:r>
    <w:r>
      <w:rPr>
        <w:color w:val="5B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2026-07-28T18:23:34.032Z</dcterms:created>
  <dcterms:modified xsi:type="dcterms:W3CDTF">2026-07-28T18:23:34.032Z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