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F7A6E"/>
          <w:sz w:val="64"/>
          <w:szCs w:val="64"/>
        </w:rPr>
        <w:t xml:space="preserve">AIOS</w:t>
      </w:r>
    </w:p>
    <w:p>
      <w:pPr>
        <w:spacing w:after="400" w:before="100"/>
        <w:jc w:val="center"/>
      </w:pPr>
      <w:r>
        <w:rPr>
          <w:color w:val="5B6470"/>
          <w:sz w:val="26"/>
          <w:szCs w:val="26"/>
        </w:rPr>
        <w:t xml:space="preserve">Academic Intelligence Operating System</w:t>
      </w:r>
    </w:p>
    <w:p>
      <w:pPr>
        <w:spacing w:before="300"/>
        <w:jc w:val="center"/>
      </w:pPr>
      <w:r>
        <w:rPr>
          <w:b/>
          <w:bCs/>
          <w:color w:val="1B2A4A"/>
          <w:sz w:val="40"/>
          <w:szCs w:val="40"/>
        </w:rPr>
        <w:t xml:space="preserve">Frontend Specification Document</w:t>
      </w:r>
    </w:p>
    <w:p>
      <w:pPr>
        <w:spacing w:after="600" w:before="120"/>
        <w:jc w:val="center"/>
      </w:pPr>
      <w:r>
        <w:rPr>
          <w:i/>
          <w:iCs/>
          <w:color w:val="5B6470"/>
          <w:sz w:val="22"/>
          <w:szCs w:val="22"/>
        </w:rPr>
        <w:t xml:space="preserve">Design system and integration spec — so every screen matches</w:t>
      </w:r>
    </w:p>
    <w:p>
      <w:pPr>
        <w:spacing w:before="800"/>
        <w:jc w:val="center"/>
      </w:pPr>
      <w:r>
        <w:rPr>
          <w:color w:val="5B6470"/>
          <w:sz w:val="19"/>
          <w:szCs w:val="19"/>
        </w:rPr>
        <w:t xml:space="preserve">Version 1.0  |  Prepared for Design &amp; Frontend Team</w:t>
      </w:r>
    </w:p>
    <w:p>
      <w:r>
        <w:br w:type="page"/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1. Color Palette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A calm, academic palette — navy for trust and authority, teal for the "intelligence / action" accent, with clear, unambiguous status colors so error and success states never get confused.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600"/>
        <w:gridCol w:w="1800"/>
        <w:gridCol w:w="2200"/>
        <w:gridCol w:w="3400"/>
      </w:tblGrid>
      <w:tr>
        <w:trPr>
          <w:tblHeader/>
        </w:trPr>
        <w:tc>
          <w:tcPr>
            <w:tcW w:type="dxa" w:w="1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8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2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#1B2A4A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Primary — Navy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Headers, primary buttons, navigation, key headings</w:t>
            </w:r>
          </w:p>
        </w:tc>
      </w:tr>
      <w:tr>
        <w:tc>
          <w:tcPr>
            <w:tcW w:type="dxa" w:w="1600"/>
            <w:shd w:fill="0F7A6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#0F7A6E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Accent — Teal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Action items, links, highlights, "recommended next step" cards</w:t>
            </w:r>
          </w:p>
        </w:tc>
      </w:tr>
      <w:tr>
        <w:tc>
          <w:tcPr>
            <w:tcW w:type="dxa" w:w="1600"/>
            <w:shd w:fill="F7F9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#F7F9F9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#FFFFFF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Surface / Card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Cards, panels, modals</w:t>
            </w:r>
          </w:p>
        </w:tc>
      </w:tr>
      <w:tr>
        <w:tc>
          <w:tcPr>
            <w:tcW w:type="dxa" w:w="1600"/>
            <w:shd w:fill="D8DCE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#D8DCE1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Border / Divider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Table borders, dividers, input outlines</w:t>
            </w:r>
          </w:p>
        </w:tc>
      </w:tr>
      <w:tr>
        <w:tc>
          <w:tcPr>
            <w:tcW w:type="dxa" w:w="1600"/>
            <w:shd w:fill="1F243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#1F2430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Text — Primary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 copy, headings</w:t>
            </w:r>
          </w:p>
        </w:tc>
      </w:tr>
      <w:tr>
        <w:tc>
          <w:tcPr>
            <w:tcW w:type="dxa" w:w="1600"/>
            <w:shd w:fill="5B647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#5B6470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Text — Secondary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Captions, helper text, timestamps</w:t>
            </w:r>
          </w:p>
        </w:tc>
      </w:tr>
      <w:tr>
        <w:tc>
          <w:tcPr>
            <w:tcW w:type="dxa" w:w="1600"/>
            <w:shd w:fill="1F925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#1F9254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Success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Improvement, task complete, approved</w:t>
            </w:r>
          </w:p>
        </w:tc>
      </w:tr>
      <w:tr>
        <w:tc>
          <w:tcPr>
            <w:tcW w:type="dxa" w:w="1600"/>
            <w:shd w:fill="C7861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#C7861B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Warning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At-risk student, pending approval, syllabus lag</w:t>
            </w:r>
          </w:p>
        </w:tc>
      </w:tr>
      <w:tr>
        <w:tc>
          <w:tcPr>
            <w:tcW w:type="dxa" w:w="1600"/>
            <w:shd w:fill="C140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#C1403D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Error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Failed upload, permission denied, locked exam conflict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2. Typography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 / Weight / Size</w:t>
            </w:r>
          </w:p>
        </w:tc>
        <w:tc>
          <w:tcPr>
            <w:tcW w:type="dxa" w:w="30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Page titles (H1)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Bold, 28–32px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One per screen — e.g. "Student Dashboard"</w:t>
            </w:r>
          </w:p>
        </w:tc>
      </w:tr>
      <w:tr>
        <w:tc>
          <w:tcPr>
            <w:tcW w:type="dxa" w:w="24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Section headings (H2)</w:t>
            </w:r>
          </w:p>
        </w:tc>
        <w:tc>
          <w:tcPr>
            <w:tcW w:type="dxa" w:w="3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Semibold, 20–22px</w:t>
            </w:r>
          </w:p>
        </w:tc>
        <w:tc>
          <w:tcPr>
            <w:tcW w:type="dxa" w:w="3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"Weak Topics," "Pending Evaluations"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Card titles / labels (H3)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Semibold, 16px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Metric labels, table headers</w:t>
            </w:r>
          </w:p>
        </w:tc>
      </w:tr>
      <w:tr>
        <w:tc>
          <w:tcPr>
            <w:tcW w:type="dxa" w:w="24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Body text</w:t>
            </w:r>
          </w:p>
        </w:tc>
        <w:tc>
          <w:tcPr>
            <w:tcW w:type="dxa" w:w="3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Regular, 14–15px</w:t>
            </w:r>
          </w:p>
        </w:tc>
        <w:tc>
          <w:tcPr>
            <w:tcW w:type="dxa" w:w="3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Descriptions, table content, form labels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Caption / helper text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Regular, 12–13px, Text-Secondary color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Timestamps, hints, "last updated" notes</w:t>
            </w:r>
          </w:p>
        </w:tc>
      </w:tr>
      <w:tr>
        <w:tc>
          <w:tcPr>
            <w:tcW w:type="dxa" w:w="24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3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Semibold, 14px, uppercase-tracking optional</w:t>
            </w:r>
          </w:p>
        </w:tc>
        <w:tc>
          <w:tcPr>
            <w:tcW w:type="dxa" w:w="3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All buttons, consistent across roles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Numeric / data emphasis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Inter, Bold or a monospace-leaning numeral style, 24–36px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Score numbers, mastery %, big dashboard metrics</w:t>
            </w:r>
          </w:p>
        </w:tc>
      </w:tr>
    </w:tbl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3. Component Styles</w:t>
      </w: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Primary: solid Teal background, white text, 8px corner radius, medium padding (12px/20px) — used for the single main action per screen (e.g. "Approve Paper").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Secondary: white background, Navy 1px border, Navy text — used for supporting actions (e.g. "Preview").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Destructive: solid Error-red background, white text — used only for irreversible actions (e.g. "Delete Question"), always paired with a confirmation step.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Disabled: 40% opacity, no hover state, cursor not-allowed.</w:t>
      </w: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Input Fields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1px Border-Gray outline, 8px corner radius, 12px internal padding, white background.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Focus state: border changes to Teal, subtle teal glow (box-shadow), no color change on the label.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Error state: border changes to Error-red, helper text below the field explains what's wrong in plain language.</w:t>
      </w: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White surface, 12px corner radius, subtle shadow (0 1px 3px rgba(0,0,0,0.08)), 16–20px internal padding.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Dashboard "action cards" (e.g. "3 papers pending approval") lead with a bold number and a short label, and are always tappable/clickable to the relevant screen.</w:t>
      </w: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Modals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Centered, max-width 480–640px, white background, 16px corner radius, dimmed overlay (rgba(0,0,0,0.4)) behind.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Always include a clear title, a single primary action, and a visible close/cancel option — never a dead-end modal.</w:t>
      </w:r>
    </w:p>
    <w:p>
      <w:pPr>
        <w:pStyle w:val="Heading2"/>
        <w:spacing w:after="120" w:before="260"/>
      </w:pPr>
      <w:r>
        <w:rPr>
          <w:b/>
          <w:bCs/>
          <w:color w:val="0F7A6E"/>
          <w:sz w:val="24"/>
          <w:szCs w:val="24"/>
        </w:rPr>
        <w:t xml:space="preserve">Tags / Status Chips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Small pill shape, 4px vertical / 10px horizontal padding, colored background at 12% opacity with full-opacity text of the matching status color.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Used for student tags (e.g. "needs revision," "high-risk") and exam status ("draft," "approved," "locked").</w:t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4. Spacing &amp; Layout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Base spacing unit: 4px. All padding/margins are multiples of 4 (4, 8, 12, 16, 24, 32, 48).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Page layout: fixed left sidebar (240px) for navigation on desktop; content area max-width 1200px, centered, with 24px outer padding.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Grid: 12-column grid for dashboards; cards typically span 3, 4, or 6 columns depending on content density.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Vertical rhythm: 32px between major sections, 16px between related elements within a section, 8px between a label and its value.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Mobile breakpoint (below 768px): sidebar collapses to a bottom nav bar; cards stack full-width; touch targets are minimum 44x44px given teacher and student mobile use.</w:t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5. API &amp; Integration Spec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Every third-party service the frontend/backend talks to, what it does in AIOS, and the shape of data going in and out.</w:t>
      </w:r>
    </w:p>
    <w:tbl>
      <w:tblPr>
        <w:tblW w:type="dxa" w:w="91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500"/>
        <w:gridCol w:w="2000"/>
        <w:gridCol w:w="1600"/>
        <w:gridCol w:w="2200"/>
        <w:gridCol w:w="1800"/>
      </w:tblGrid>
      <w:tr>
        <w:trPr>
          <w:tblHeader/>
        </w:trPr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 in AIOS</w:t>
            </w:r>
          </w:p>
        </w:tc>
        <w:tc>
          <w:tcPr>
            <w:tcW w:type="dxa" w:w="1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endpoint(s)</w:t>
            </w:r>
          </w:p>
        </w:tc>
        <w:tc>
          <w:tcPr>
            <w:tcW w:type="dxa" w:w="22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sent</w:t>
            </w:r>
          </w:p>
        </w:tc>
        <w:tc>
          <w:tcPr>
            <w:tcW w:type="dxa" w:w="18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returned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Login and identity verification for all four roles.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GET /oauth/authorize, POST /oauth/token (server-side exchange)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ID token (JWT)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Verified email, name, and Google subject ID → mapped to institute + role</w:t>
            </w:r>
          </w:p>
        </w:tc>
      </w:tr>
      <w:tr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Sends notices, exam alerts, and escalation messages.</w:t>
            </w:r>
          </w:p>
        </w:tc>
        <w:tc>
          <w:tcPr>
            <w:tcW w:type="dxa" w:w="1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 /messages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Recipient phone number, template name, variables (student name, topic, date)</w:t>
            </w:r>
          </w:p>
        </w:tc>
        <w:tc>
          <w:tcPr>
            <w:tcW w:type="dxa" w:w="18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Delivery status (sent/delivered/read/failed)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Email (SendGrid or similar)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Report cards, formal notices, weekly summaries.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 /mail/send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Recipient email, template ID, dynamic data (scores, PDF attachment link)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Delivery/bounce status</w:t>
            </w:r>
          </w:p>
        </w:tc>
      </w:tr>
      <w:tr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SMS Gateway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Time-sensitive alerts (exam reminders, low-attendance-style urgent notices) for guardians without WhatsApp.</w:t>
            </w:r>
          </w:p>
        </w:tc>
        <w:tc>
          <w:tcPr>
            <w:tcW w:type="dxa" w:w="1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 /sms/send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Phone number, message text (template-based)</w:t>
            </w:r>
          </w:p>
        </w:tc>
        <w:tc>
          <w:tcPr>
            <w:tcW w:type="dxa" w:w="18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Delivery status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LLM / AI Provider (e.g. OpenAI)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Assists paper generation, remedial recommendations, and plain-language explanations of why a topic was flagged weak.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 /v1/chat/completions (server-side only)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Blueprint parameters, question-bank context, student mastery summary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Draft paper/question suggestions or an explanation string — always shown to a teacher for approval before publishing</w:t>
            </w:r>
          </w:p>
        </w:tc>
      </w:tr>
      <w:tr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Cloud File Storage (S3 / Supabase Storage)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Stores answer-sheet photos, OMR scans, and generated PDF reports.</w:t>
            </w:r>
          </w:p>
        </w:tc>
        <w:tc>
          <w:tcPr>
            <w:tcW w:type="dxa" w:w="1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PUT /object, GET /object (signed URLs)</w:t>
            </w:r>
          </w:p>
        </w:tc>
        <w:tc>
          <w:tcPr>
            <w:tcW w:type="dxa" w:w="22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Binary file + metadata (student_id, exam_id, type)</w:t>
            </w:r>
          </w:p>
        </w:tc>
        <w:tc>
          <w:tcPr>
            <w:tcW w:type="dxa" w:w="18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Signed, time-limited download URL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OMR Processing Service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Converts scanned/photographed answer sheets into structured responses.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POST /omr/process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Image file + answer key reference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Structured question-wise responses, with a confidence score per item for manual review of low-confidence reads</w:t>
            </w:r>
          </w:p>
        </w:tc>
      </w:tr>
    </w:tbl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AIOS — Frontend Specification Document   |   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2026-07-28T18:24:59.435Z</dcterms:created>
  <dcterms:modified xsi:type="dcterms:W3CDTF">2026-07-28T18:24:59.436Z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