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xtl2f6o9qs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3. X‑Learner (Cross Approach)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like T‑Learner — build two models.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group then </w:t>
      </w:r>
      <w:r w:rsidDel="00000000" w:rsidR="00000000" w:rsidRPr="00000000">
        <w:rPr>
          <w:b w:val="1"/>
          <w:rtl w:val="0"/>
        </w:rPr>
        <w:t xml:space="preserve">guesses what would’ve happened if they were in the other group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Treated customers compare their actual results to what the “control model” predicts.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 customers compare their actual results to what the “treated model” predicts.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 the two perspectives, weighted by how likely people like them usually are to get treated.</w:t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4. U‑Learner (Uplift Learner)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6lksr2q0v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Step‑by‑Step Explanation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 what’s “normal”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First, the model learns what customers are likely to do naturally — even without the campaign.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i w:val="1"/>
          <w:rtl w:val="0"/>
        </w:rPr>
        <w:t xml:space="preserve">“Based on age, income, and past behavior, this customer usually has a 20% chance to buy anyway.”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what actually happened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Then we compare the actual outcome to this natural expectation.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i w:val="1"/>
          <w:rtl w:val="0"/>
        </w:rPr>
        <w:t xml:space="preserve">“The customer actually bought — that’s higher than the 20% we expected.”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Adjust for fairness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everyone had the same chance of being in the campaign. Some groups are more likely to get treated.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 we adjust for how “surprising” it was that they got treated.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 the real campaign effect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leftover difference, after adjusting for normal behavior and treatment bias, is the true uplift.</w:t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sz w:val="34"/>
          <w:szCs w:val="34"/>
          <w:rtl w:val="0"/>
        </w:rPr>
        <w:t xml:space="preserve"> R‑Learner (Residual Learner)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8eiz82q7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Step‑by‑Step Explanation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the obvious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First, take away the part of the outcome that can already be explained by normal customer behavior.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i w:val="1"/>
          <w:rtl w:val="0"/>
        </w:rPr>
        <w:t xml:space="preserve">“We know from their profile they’d usually have a 30% chance of buying. Let’s subtract that.”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the treatment bias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Next, take away the part that just comes from how likely they were to get the campaign in the first place.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i w:val="1"/>
          <w:rtl w:val="0"/>
        </w:rPr>
        <w:t xml:space="preserve">“This group is very likely to receive the campaign, so we shouldn’t give the campaign too much credit.”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Look at what’s left (the residuals)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Now, only the unexplained part remains — the true effect of treatment.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 the uplift pattern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Finally, the model looks at many customers’ residuals to learn how features (like age, income, product history) affect the campaign’s impact.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f4xetp2pn8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6. Causal Trees / Causal Forests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Split customers into smaller groups based on features (like age, income, history).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group, compare results between treated and untreated.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difference shows which groups are most persuadable.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