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8" w:name="aiql-ca-demo-runbook"/>
    <w:p>
      <w:pPr>
        <w:pStyle w:val="Heading1"/>
      </w:pPr>
      <w:r>
        <w:t xml:space="preserve">AIQL — CA Demo Runbook</w:t>
      </w:r>
    </w:p>
    <w:p>
      <w:pPr>
        <w:pStyle w:val="BlockText"/>
      </w:pPr>
      <w:r>
        <w:t xml:space="preserve">Tuesday meeting playbook. Read top to bottom once before the meeting, keep it open during.</w:t>
      </w:r>
      <w:r>
        <w:t xml:space="preserve"> </w:t>
      </w:r>
      <w:r>
        <w:t xml:space="preserve">Everything in</w:t>
      </w:r>
      <w:r>
        <w:t xml:space="preserve"> </w:t>
      </w:r>
      <w:r>
        <w:rPr>
          <w:b/>
          <w:bCs/>
        </w:rPr>
        <w:t xml:space="preserve">italics-quotes</w:t>
      </w:r>
      <w:r>
        <w:t xml:space="preserve"> </w:t>
      </w:r>
      <w:r>
        <w:t xml:space="preserve">is a verbatim line you can say.</w:t>
      </w:r>
      <w:r>
        <w:t xml:space="preserve"> </w:t>
      </w:r>
      <w:r>
        <w:t xml:space="preserve">You don’t need to be a CA to run this — the script does the finance translation for you.</w:t>
      </w:r>
    </w:p>
    <w:p>
      <w:r>
        <w:pict>
          <v:rect style="width:0;height:1.5pt" o:hralign="center" o:hrstd="t" o:hr="t"/>
        </w:pict>
      </w:r>
    </w:p>
    <w:bookmarkStart w:id="15" w:name="X1920f143f1b8665a469cf7e39e1405fa3e0b099"/>
    <w:p>
      <w:pPr>
        <w:pStyle w:val="Heading2"/>
      </w:pPr>
      <w:r>
        <w:t xml:space="preserve">Section 0 · Pre-meeting prep (30 min before they arrive)</w:t>
      </w:r>
    </w:p>
    <w:p>
      <w:pPr>
        <w:pStyle w:val="FirstParagraph"/>
      </w:pPr>
      <w:r>
        <w:t xml:space="preserve">Run through this checklist on your laptop. If anything fails, the demo fails — fix it now, not when they’re sitting there.</w:t>
      </w:r>
    </w:p>
    <w:bookmarkStart w:id="9" w:name="make-sure-the-dev-server-is-healthy"/>
    <w:p>
      <w:pPr>
        <w:pStyle w:val="Heading3"/>
      </w:pPr>
      <w:r>
        <w:t xml:space="preserve">0.1 — Make sure the dev server is healthy</w:t>
      </w:r>
    </w:p>
    <w:p>
      <w:pPr>
        <w:pStyle w:val="SourceCode"/>
      </w:pPr>
      <w:r>
        <w:rPr>
          <w:rStyle w:val="CommentTok"/>
        </w:rPr>
        <w:t xml:space="preserve"># In one terminal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"/Users/chiragrajput/AIQL ERP"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web dev</w:t>
      </w:r>
    </w:p>
    <w:p>
      <w:pPr>
        <w:pStyle w:val="FirstParagraph"/>
      </w:pPr>
      <w:r>
        <w:t xml:space="preserve">Wait for</w:t>
      </w:r>
      <w:r>
        <w:t xml:space="preserve"> </w:t>
      </w:r>
      <w:r>
        <w:rPr>
          <w:rStyle w:val="VerbatimChar"/>
        </w:rPr>
        <w:t xml:space="preserve">✓ Ready in NNNNms</w:t>
      </w:r>
      <w:r>
        <w:t xml:space="preserve">. Open http://localhost:3000/login. Login should render. If you get the</w:t>
      </w:r>
      <w:r>
        <w:t xml:space="preserve"> </w:t>
      </w:r>
      <w:r>
        <w:t xml:space="preserve">“Cannot find the middleware module”</w:t>
      </w:r>
      <w:r>
        <w:t xml:space="preserve"> </w:t>
      </w:r>
      <w:r>
        <w:t xml:space="preserve">error, kill the process (</w:t>
      </w:r>
      <w:r>
        <w:rPr>
          <w:rStyle w:val="VerbatimChar"/>
        </w:rPr>
        <w:t xml:space="preserve">pkill -f "next dev"</w:t>
      </w:r>
      <w:r>
        <w:t xml:space="preserve">) and restart.</w:t>
      </w:r>
    </w:p>
    <w:bookmarkEnd w:id="9"/>
    <w:bookmarkStart w:id="10" w:name="have-a-sample-gl-ready"/>
    <w:p>
      <w:pPr>
        <w:pStyle w:val="Heading3"/>
      </w:pPr>
      <w:r>
        <w:t xml:space="preserve">0.2 — Have a sample GL ready</w:t>
      </w:r>
    </w:p>
    <w:p>
      <w:pPr>
        <w:pStyle w:val="FirstParagraph"/>
      </w:pPr>
      <w:r>
        <w:t xml:space="preserve">You need a CSV with</w:t>
      </w:r>
      <w:r>
        <w:t xml:space="preserve"> </w:t>
      </w:r>
      <w:r>
        <w:rPr>
          <w:b/>
          <w:bCs/>
        </w:rPr>
        <w:t xml:space="preserve">at least 200 rows</w:t>
      </w:r>
      <w:r>
        <w:t xml:space="preserve"> </w:t>
      </w:r>
      <w:r>
        <w:t xml:space="preserve">of realistic Indian SME data — vendor names, customer names, amounts, GST, TDS columns. If you don’t have one, use one of the test CSVs from</w:t>
      </w:r>
      <w:r>
        <w:t xml:space="preserve"> </w:t>
      </w:r>
      <w:r>
        <w:rPr>
          <w:rStyle w:val="VerbatimChar"/>
        </w:rPr>
        <w:t xml:space="preserve">tools/smoke-test/</w:t>
      </w:r>
      <w:r>
        <w:t xml:space="preserve">. Realistic ≠ clean — leave a few duplicate vouchers, a couple of Dr ≠ Cr entries, one CGST ≠ SGST mistake.</w:t>
      </w:r>
      <w:r>
        <w:t xml:space="preserve"> </w:t>
      </w:r>
      <w:r>
        <w:rPr>
          <w:b/>
          <w:bCs/>
        </w:rPr>
        <w:t xml:space="preserve">The system finding these is the demo.</w:t>
      </w:r>
    </w:p>
    <w:bookmarkEnd w:id="10"/>
    <w:bookmarkStart w:id="11" w:name="Xb1d0e1a3edb2d3ebdccfd6f04ae3cb41e452b6b"/>
    <w:p>
      <w:pPr>
        <w:pStyle w:val="Heading3"/>
      </w:pPr>
      <w:r>
        <w:t xml:space="preserve">0.3 — Pre-load the knowledge base (so</w:t>
      </w:r>
      <w:r>
        <w:t xml:space="preserve"> </w:t>
      </w:r>
      <w:r>
        <w:t xml:space="preserve">“compounding”</w:t>
      </w:r>
      <w:r>
        <w:t xml:space="preserve"> </w:t>
      </w:r>
      <w:r>
        <w:t xml:space="preserve">is visible)</w:t>
      </w:r>
    </w:p>
    <w:p>
      <w:pPr>
        <w:pStyle w:val="Compact"/>
        <w:numPr>
          <w:ilvl w:val="0"/>
          <w:numId w:val="1001"/>
        </w:numPr>
      </w:pPr>
      <w:r>
        <w:t xml:space="preserve">Log in, upload your sample GL, complete account mapping.</w:t>
      </w:r>
    </w:p>
    <w:p>
      <w:pPr>
        <w:pStyle w:val="Compact"/>
        <w:numPr>
          <w:ilvl w:val="0"/>
          <w:numId w:val="1001"/>
        </w:numPr>
      </w:pPr>
      <w:r>
        <w:t xml:space="preserve">Create one close period for</w:t>
      </w:r>
      <w:r>
        <w:t xml:space="preserve"> </w:t>
      </w:r>
      <w:r>
        <w:rPr>
          <w:b/>
          <w:bCs/>
        </w:rPr>
        <w:t xml:space="preserve">March 2026</w:t>
      </w:r>
      <w:r>
        <w:t xml:space="preserve"> </w:t>
      </w:r>
      <w:r>
        <w:t xml:space="preserve">(the prior month). Walk through it, click</w:t>
      </w:r>
      <w:r>
        <w:t xml:space="preserve"> </w:t>
      </w:r>
      <w:r>
        <w:rPr>
          <w:rStyle w:val="VerbatimChar"/>
        </w:rPr>
        <w:t xml:space="preserve">Yes — normal</w:t>
      </w:r>
      <w:r>
        <w:t xml:space="preserve"> </w:t>
      </w:r>
      <w:r>
        <w:t xml:space="preserve">on at least 3 anomalies. Add a note like</w:t>
      </w:r>
      <w:r>
        <w:t xml:space="preserve"> </w:t>
      </w:r>
      <w:r>
        <w:rPr>
          <w:i/>
          <w:iCs/>
        </w:rPr>
        <w:t xml:space="preserve">“Annual bonus paid via bank transfer”</w:t>
      </w:r>
      <w:r>
        <w:t xml:space="preserve"> </w:t>
      </w:r>
      <w:r>
        <w:t xml:space="preserve">on one.</w:t>
      </w:r>
    </w:p>
    <w:p>
      <w:pPr>
        <w:pStyle w:val="Compact"/>
        <w:numPr>
          <w:ilvl w:val="0"/>
          <w:numId w:val="1001"/>
        </w:numPr>
      </w:pPr>
      <w:r>
        <w:t xml:space="preserve">Now create the</w:t>
      </w:r>
      <w:r>
        <w:t xml:space="preserve"> </w:t>
      </w:r>
      <w:r>
        <w:rPr>
          <w:b/>
          <w:bCs/>
        </w:rPr>
        <w:t xml:space="preserve">April 2026</w:t>
      </w:r>
      <w:r>
        <w:t xml:space="preserve"> </w:t>
      </w:r>
      <w:r>
        <w:t xml:space="preserve">close — you’ll see auto-resolve fire on the same anomalies that were confirmed in March.</w:t>
      </w:r>
      <w:r>
        <w:t xml:space="preserve"> </w:t>
      </w:r>
      <w:r>
        <w:rPr>
          <w:b/>
          <w:bCs/>
        </w:rPr>
        <w:t xml:space="preserve">This is your</w:t>
      </w:r>
      <w:r>
        <w:rPr>
          <w:b/>
          <w:bCs/>
        </w:rPr>
        <w:t xml:space="preserve"> </w:t>
      </w:r>
      <w:r>
        <w:rPr>
          <w:b/>
          <w:bCs/>
        </w:rPr>
        <w:t xml:space="preserve">“compounding”</w:t>
      </w:r>
      <w:r>
        <w:rPr>
          <w:b/>
          <w:bCs/>
        </w:rPr>
        <w:t xml:space="preserve"> </w:t>
      </w:r>
      <w:r>
        <w:rPr>
          <w:b/>
          <w:bCs/>
        </w:rPr>
        <w:t xml:space="preserve">demo moment.</w:t>
      </w:r>
      <w:r>
        <w:t xml:space="preserve"> </w:t>
      </w:r>
      <w:r>
        <w:t xml:space="preserve">Don’t skip this prep step — without it, the knowledge dashboard shows zeros and the wow lands flat.</w:t>
      </w:r>
    </w:p>
    <w:bookmarkEnd w:id="11"/>
    <w:bookmarkStart w:id="12" w:name="set-up-at-least-one-byok-key"/>
    <w:p>
      <w:pPr>
        <w:pStyle w:val="Heading3"/>
      </w:pPr>
      <w:r>
        <w:t xml:space="preserve">0.4 — Set up at least one BYOK key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/settings/api-keys</w:t>
      </w:r>
    </w:p>
    <w:p>
      <w:pPr>
        <w:pStyle w:val="Compact"/>
        <w:numPr>
          <w:ilvl w:val="0"/>
          <w:numId w:val="1002"/>
        </w:numPr>
      </w:pPr>
      <w:r>
        <w:t xml:space="preserve">Add your own OpenAI key (or Anthropic, Groq — whichever you have)</w:t>
      </w:r>
    </w:p>
    <w:p>
      <w:pPr>
        <w:pStyle w:val="Compact"/>
        <w:numPr>
          <w:ilvl w:val="0"/>
          <w:numId w:val="1002"/>
        </w:numPr>
      </w:pPr>
      <w:r>
        <w:t xml:space="preserve">Confirm it shows as</w:t>
      </w:r>
      <w:r>
        <w:t xml:space="preserve"> </w:t>
      </w:r>
      <w:r>
        <w:rPr>
          <w:rStyle w:val="VerbatimChar"/>
        </w:rPr>
        <w:t xml:space="preserve">…XYZ4</w:t>
      </w:r>
      <w:r>
        <w:t xml:space="preserve"> </w:t>
      </w:r>
      <w:r>
        <w:t xml:space="preserve">in the list</w:t>
      </w:r>
    </w:p>
    <w:p>
      <w:pPr>
        <w:pStyle w:val="FirstParagraph"/>
      </w:pPr>
      <w:r>
        <w:t xml:space="preserve">If you don’t have any key, the privacy demo still works (the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panel masks live without a key) — but you can’t show the round-trip. Borrow a Groq key (free tier) if needed.</w:t>
      </w:r>
    </w:p>
    <w:bookmarkEnd w:id="12"/>
    <w:bookmarkStart w:id="13" w:name="open-these-5-tabs-in-the-browser"/>
    <w:p>
      <w:pPr>
        <w:pStyle w:val="Heading3"/>
      </w:pPr>
      <w:r>
        <w:t xml:space="preserve">0.5 — Open these 5 tabs in the browser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/close</w:t>
      </w:r>
      <w:r>
        <w:t xml:space="preserve"> </w:t>
      </w:r>
      <w:r>
        <w:t xml:space="preserve">— Close Manager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/close/&lt;your-april-period-id&gt;</w:t>
      </w:r>
      <w:r>
        <w:t xml:space="preserve"> </w:t>
      </w:r>
      <w:r>
        <w:t xml:space="preserve">— the April period detail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/llm-privacy-demo</w:t>
      </w:r>
      <w:r>
        <w:t xml:space="preserve"> </w:t>
      </w:r>
      <w:r>
        <w:t xml:space="preserve">— Privacy Demo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/knowledge</w:t>
      </w:r>
      <w:r>
        <w:t xml:space="preserve"> </w:t>
      </w:r>
      <w:r>
        <w:t xml:space="preserve">— Knowledge dashboard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/settings/api-keys</w:t>
      </w:r>
      <w:r>
        <w:t xml:space="preserve"> </w:t>
      </w:r>
      <w:r>
        <w:t xml:space="preserve">— for the</w:t>
      </w:r>
      <w:r>
        <w:t xml:space="preserve"> </w:t>
      </w:r>
      <w:r>
        <w:t xml:space="preserve">“this is your key, your bill”</w:t>
      </w:r>
      <w:r>
        <w:t xml:space="preserve"> </w:t>
      </w:r>
      <w:r>
        <w:t xml:space="preserve">point</w:t>
      </w:r>
    </w:p>
    <w:bookmarkEnd w:id="13"/>
    <w:bookmarkStart w:id="14" w:name="Xffc120c2f50eac43994a3b917c5e53859499608"/>
    <w:p>
      <w:pPr>
        <w:pStyle w:val="Heading3"/>
      </w:pPr>
      <w:r>
        <w:t xml:space="preserve">0.6 — Pre-write three sample prompts to copy-paste</w:t>
      </w:r>
    </w:p>
    <w:p>
      <w:pPr>
        <w:pStyle w:val="FirstParagraph"/>
      </w:pPr>
      <w:r>
        <w:t xml:space="preserve">Don’t type these live — fumbling kills momentum. Have them in a notes app:</w:t>
      </w:r>
    </w:p>
    <w:p>
      <w:pPr>
        <w:pStyle w:val="BodyText"/>
      </w:pPr>
      <w:r>
        <w:rPr>
          <w:b/>
          <w:bCs/>
        </w:rPr>
        <w:t xml:space="preserve">Prompt A (vendor + amount masking):</w:t>
      </w:r>
    </w:p>
    <w:p>
      <w:pPr>
        <w:pStyle w:val="SourceCode"/>
      </w:pPr>
      <w:r>
        <w:rPr>
          <w:rStyle w:val="VerbatimChar"/>
        </w:rPr>
        <w:t xml:space="preserve">Reliance Industries paid us ₹12,50,000 against invoice INV-2024-0892</w:t>
      </w:r>
      <w:r>
        <w:br/>
      </w:r>
      <w:r>
        <w:rPr>
          <w:rStyle w:val="VerbatimChar"/>
        </w:rPr>
        <w:t xml:space="preserve">last month. CFO Mr Kumar wants to know if this aligns with our vendor</w:t>
      </w:r>
      <w:r>
        <w:br/>
      </w:r>
      <w:r>
        <w:rPr>
          <w:rStyle w:val="VerbatimChar"/>
        </w:rPr>
        <w:t xml:space="preserve">budget. Can you check?</w:t>
      </w:r>
    </w:p>
    <w:p>
      <w:pPr>
        <w:pStyle w:val="FirstParagraph"/>
      </w:pPr>
      <w:r>
        <w:rPr>
          <w:b/>
          <w:bCs/>
        </w:rPr>
        <w:t xml:space="preserve">Prompt B (real CA question — adaptive close):</w:t>
      </w:r>
    </w:p>
    <w:p>
      <w:pPr>
        <w:pStyle w:val="SourceCode"/>
      </w:pPr>
      <w:r>
        <w:rPr>
          <w:rStyle w:val="VerbatimChar"/>
        </w:rPr>
        <w:t xml:space="preserve">We paid a one-time bonus in March to the senior team and salary</w:t>
      </w:r>
      <w:r>
        <w:br/>
      </w:r>
      <w:r>
        <w:rPr>
          <w:rStyle w:val="VerbatimChar"/>
        </w:rPr>
        <w:t xml:space="preserve">expense jumped ₹8,75,000. Watch the salary accounts carefully.</w:t>
      </w:r>
      <w:r>
        <w:br/>
      </w:r>
      <w:r>
        <w:rPr>
          <w:rStyle w:val="VerbatimChar"/>
        </w:rPr>
        <w:t xml:space="preserve">GST rate also changed mid-month - check CGST/SGST for the second</w:t>
      </w:r>
      <w:r>
        <w:br/>
      </w:r>
      <w:r>
        <w:rPr>
          <w:rStyle w:val="VerbatimChar"/>
        </w:rPr>
        <w:t xml:space="preserve">half differently.</w:t>
      </w:r>
    </w:p>
    <w:p>
      <w:pPr>
        <w:pStyle w:val="FirstParagraph"/>
      </w:pPr>
      <w:r>
        <w:rPr>
          <w:b/>
          <w:bCs/>
        </w:rPr>
        <w:t xml:space="preserve">Prompt C (knowledge match — to show auto-resolve):</w:t>
      </w:r>
      <w:r>
        <w:t xml:space="preserve"> </w:t>
      </w:r>
      <w:r>
        <w:t xml:space="preserve">Whatever you confirmed in 0.3 — re-ask it via the proxy to show</w:t>
      </w:r>
      <w:r>
        <w:t xml:space="preserve"> </w:t>
      </w:r>
      <w:r>
        <w:t xml:space="preserve">“your knowledge base auto-injected”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ection-1-the-opening-2-min"/>
    <w:p>
      <w:pPr>
        <w:pStyle w:val="Heading2"/>
      </w:pPr>
      <w:r>
        <w:t xml:space="preserve">Section 1 · The opening (2 min)</w:t>
      </w:r>
    </w:p>
    <w:p>
      <w:pPr>
        <w:pStyle w:val="FirstParagraph"/>
      </w:pPr>
      <w:r>
        <w:t xml:space="preserve">Sit down. Don’t open the laptop yet. Look at them. Say:</w:t>
      </w:r>
    </w:p>
    <w:p>
      <w:pPr>
        <w:pStyle w:val="BlockText"/>
      </w:pPr>
      <w:r>
        <w:rPr>
          <w:i/>
          <w:iCs/>
        </w:rPr>
        <w:t xml:space="preserve">“You spend most of your monthly close on repetitive checks — voucher balancing, ledger scrutiny, GST reconciliation. The real CA work — judgment about whether something’s normal or suspicious — is maybe 30% of the time. The other 70% is mechanical.”</w:t>
      </w:r>
    </w:p>
    <w:p>
      <w:pPr>
        <w:pStyle w:val="BlockText"/>
      </w:pPr>
      <w:r>
        <w:rPr>
          <w:i/>
          <w:iCs/>
        </w:rPr>
        <w:t xml:space="preserve">“AIQL automates the mechanical 70% by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remembering your judgment from last time</w:t>
      </w:r>
      <w:r>
        <w:rPr>
          <w:i/>
          <w:iCs/>
        </w:rPr>
        <w:t xml:space="preserve">. And — separately — your client data never leaves your box even when we use AI. Let me show you on a real GL.”</w:t>
      </w:r>
    </w:p>
    <w:p>
      <w:pPr>
        <w:pStyle w:val="FirstParagraph"/>
      </w:pPr>
      <w:r>
        <w:t xml:space="preserve">That’s it. Don’t pitch features. Don’t say</w:t>
      </w:r>
      <w:r>
        <w:t xml:space="preserve"> </w:t>
      </w:r>
      <w:r>
        <w:t xml:space="preserve">“AI-powered ERP.”</w:t>
      </w:r>
      <w:r>
        <w:t xml:space="preserve"> </w:t>
      </w:r>
      <w:r>
        <w:t xml:space="preserve">Just open the laptop.</w:t>
      </w:r>
    </w:p>
    <w:p>
      <w:pPr>
        <w:pStyle w:val="BodyText"/>
      </w:pPr>
      <w:r>
        <w:rPr>
          <w:b/>
          <w:bCs/>
        </w:rPr>
        <w:t xml:space="preserve">Why this opening:</w:t>
      </w:r>
      <w:r>
        <w:t xml:space="preserve"> </w:t>
      </w:r>
      <w:r>
        <w:t xml:space="preserve">CAs hear</w:t>
      </w:r>
      <w:r>
        <w:t xml:space="preserve"> </w:t>
      </w:r>
      <w:r>
        <w:t xml:space="preserve">“AI”</w:t>
      </w:r>
      <w:r>
        <w:t xml:space="preserve"> </w:t>
      </w:r>
      <w:r>
        <w:t xml:space="preserve">30 times a week. The hook isn’t AI — it’s</w:t>
      </w:r>
      <w:r>
        <w:t xml:space="preserve"> </w:t>
      </w:r>
      <w:r>
        <w:t xml:space="preserve">“remember my judgment”</w:t>
      </w:r>
      <w:r>
        <w:t xml:space="preserve"> </w:t>
      </w:r>
      <w:r>
        <w:t xml:space="preserve">and</w:t>
      </w:r>
      <w:r>
        <w:t xml:space="preserve"> </w:t>
      </w:r>
      <w:r>
        <w:t xml:space="preserve">“data stays mine.”</w:t>
      </w:r>
      <w:r>
        <w:t xml:space="preserve"> </w:t>
      </w:r>
      <w:r>
        <w:t xml:space="preserve">Both are believable, both are demonstrable.</w:t>
      </w:r>
    </w:p>
    <w:p>
      <w:r>
        <w:pict>
          <v:rect style="width:0;height:1.5pt" o:hralign="center" o:hrstd="t" o:hr="t"/>
        </w:pict>
      </w:r>
    </w:p>
    <w:bookmarkEnd w:id="16"/>
    <w:bookmarkStart w:id="21" w:name="section-2-upload-a-real-gl-3-min"/>
    <w:p>
      <w:pPr>
        <w:pStyle w:val="Heading2"/>
      </w:pPr>
      <w:r>
        <w:t xml:space="preserve">Section 2 · Upload a real GL (3 min)</w:t>
      </w:r>
    </w:p>
    <w:bookmarkStart w:id="17" w:name="what-to-do"/>
    <w:p>
      <w:pPr>
        <w:pStyle w:val="Heading3"/>
      </w:pPr>
      <w:r>
        <w:t xml:space="preserve">What to do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/connections/new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Upload GL file</w:t>
      </w:r>
    </w:p>
    <w:p>
      <w:pPr>
        <w:pStyle w:val="Compact"/>
        <w:numPr>
          <w:ilvl w:val="0"/>
          <w:numId w:val="1004"/>
        </w:numPr>
      </w:pPr>
      <w:r>
        <w:t xml:space="preserve">Select your sample CSV</w:t>
      </w:r>
    </w:p>
    <w:p>
      <w:pPr>
        <w:pStyle w:val="Compact"/>
        <w:numPr>
          <w:ilvl w:val="0"/>
          <w:numId w:val="1004"/>
        </w:numPr>
      </w:pPr>
      <w:r>
        <w:t xml:space="preserve">Wait for parse (~10 seconds for 5,000 rows)</w:t>
      </w:r>
    </w:p>
    <w:p>
      <w:pPr>
        <w:pStyle w:val="Compact"/>
        <w:numPr>
          <w:ilvl w:val="0"/>
          <w:numId w:val="1004"/>
        </w:numPr>
      </w:pPr>
      <w:r>
        <w:t xml:space="preserve">Click into</w:t>
      </w:r>
      <w:r>
        <w:t xml:space="preserve"> </w:t>
      </w:r>
      <w:r>
        <w:rPr>
          <w:b/>
          <w:bCs/>
        </w:rPr>
        <w:t xml:space="preserve">account mapping</w:t>
      </w:r>
    </w:p>
    <w:bookmarkEnd w:id="17"/>
    <w:bookmarkStart w:id="18" w:name="what-to-point-at"/>
    <w:p>
      <w:pPr>
        <w:pStyle w:val="Heading3"/>
      </w:pPr>
      <w:r>
        <w:t xml:space="preserve">What to point at</w:t>
      </w:r>
    </w:p>
    <w:p>
      <w:pPr>
        <w:pStyle w:val="Compact"/>
        <w:numPr>
          <w:ilvl w:val="0"/>
          <w:numId w:val="1005"/>
        </w:numPr>
      </w:pPr>
      <w:r>
        <w:t xml:space="preserve">The auto-classification table. Most rows will say</w:t>
      </w:r>
      <w:r>
        <w:t xml:space="preserve"> </w:t>
      </w:r>
      <w:r>
        <w:rPr>
          <w:rStyle w:val="VerbatimChar"/>
        </w:rPr>
        <w:t xml:space="preserve">BANK / 0.95 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RECEIVABLE / 0.91</w:t>
      </w:r>
      <w:r>
        <w:t xml:space="preserve">, etc.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Find the weirdest local-language account</w:t>
      </w:r>
      <w:r>
        <w:t xml:space="preserve"> </w:t>
      </w:r>
      <w:r>
        <w:t xml:space="preserve">in your sample (e.g. </w:t>
      </w:r>
      <w:r>
        <w:rPr>
          <w:i/>
          <w:iCs/>
        </w:rPr>
        <w:t xml:space="preserve">Adatya Vyay</w:t>
      </w:r>
      <w:r>
        <w:t xml:space="preserve"> </w:t>
      </w:r>
      <w:r>
        <w:t xml:space="preserve">for commission,</w:t>
      </w:r>
      <w:r>
        <w:t xml:space="preserve"> </w:t>
      </w:r>
      <w:r>
        <w:rPr>
          <w:i/>
          <w:iCs/>
        </w:rPr>
        <w:t xml:space="preserve">Mukhya Karyalaya</w:t>
      </w:r>
      <w:r>
        <w:t xml:space="preserve"> </w:t>
      </w:r>
      <w:r>
        <w:t xml:space="preserve">for head office). It will be classified correctly.</w:t>
      </w:r>
    </w:p>
    <w:bookmarkEnd w:id="18"/>
    <w:bookmarkStart w:id="19" w:name="what-to-say"/>
    <w:p>
      <w:pPr>
        <w:pStyle w:val="Heading3"/>
      </w:pPr>
      <w:r>
        <w:t xml:space="preserve">What to say</w:t>
      </w:r>
    </w:p>
    <w:p>
      <w:pPr>
        <w:pStyle w:val="BlockText"/>
      </w:pPr>
      <w:r>
        <w:rPr>
          <w:i/>
          <w:iCs/>
        </w:rPr>
        <w:t xml:space="preserve">“Look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Adatya Vyay</w:t>
      </w:r>
      <w:r>
        <w:rPr>
          <w:i/>
          <w:iCs/>
        </w:rPr>
        <w:t xml:space="preserve"> </w:t>
      </w:r>
      <w:r>
        <w:rPr>
          <w:i/>
          <w:iCs/>
        </w:rPr>
        <w:t xml:space="preserve">is correctly tagged as commission expense.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Sundry Creditors / Local</w:t>
      </w:r>
      <w:r>
        <w:rPr>
          <w:i/>
          <w:iCs/>
        </w:rPr>
        <w:t xml:space="preserve"> </w:t>
      </w:r>
      <w:r>
        <w:rPr>
          <w:i/>
          <w:iCs/>
        </w:rPr>
        <w:t xml:space="preserve">as Payable. The system uses the account group from your Tally export, falls back to Indian-finance naming conventions, and only as a last resort hits an LLM.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Total time so far: 90 seconds. Your usual time for this in Tally: 30-45 minutes.</w:t>
      </w:r>
      <w:r>
        <w:rPr>
          <w:i/>
          <w:iCs/>
        </w:rPr>
        <w:t xml:space="preserve">”</w:t>
      </w:r>
    </w:p>
    <w:p>
      <w:pPr>
        <w:pStyle w:val="BlockText"/>
      </w:pPr>
      <w:r>
        <w:rPr>
          <w:i/>
          <w:iCs/>
        </w:rPr>
        <w:t xml:space="preserve">“You’ll notice 11% are flagged UNKNOWN — those are the ones I want you to look at, not the 89% that are obvious.”</w:t>
      </w:r>
    </w:p>
    <w:p>
      <w:pPr>
        <w:pStyle w:val="FirstParagraph"/>
      </w:pPr>
      <w:r>
        <w:t xml:space="preserve">Click through and confirm 3-4 obvious ones. Click</w:t>
      </w:r>
      <w:r>
        <w:t xml:space="preserve"> </w:t>
      </w:r>
      <w:r>
        <w:rPr>
          <w:rStyle w:val="VerbatimChar"/>
        </w:rPr>
        <w:t xml:space="preserve">Confirm all</w:t>
      </w:r>
      <w:r>
        <w:t xml:space="preserve"> </w:t>
      </w:r>
      <w:r>
        <w:t xml:space="preserve">if everything looks right.</w:t>
      </w:r>
    </w:p>
    <w:bookmarkEnd w:id="19"/>
    <w:bookmarkStart w:id="20" w:name="anticipate"/>
    <w:p>
      <w:pPr>
        <w:pStyle w:val="Heading3"/>
      </w:pPr>
      <w:r>
        <w:t xml:space="preserve">Anticipate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“What about the ones it gets wrong?”</w:t>
      </w:r>
      <w:r>
        <w:t xml:space="preserve"> </w:t>
      </w:r>
      <w:r>
        <w:t xml:space="preserve">→</w:t>
      </w:r>
      <w:r>
        <w:t xml:space="preserve"> </w:t>
      </w:r>
      <w:r>
        <w:t xml:space="preserve">“You override it manually, system remembers your override forever — even across closes.”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“Does this support Tally?”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Be honest.</w:t>
      </w:r>
      <w:r>
        <w:t xml:space="preserve"> </w:t>
      </w:r>
      <w:r>
        <w:t xml:space="preserve">“Direct sync is on the roadmap. Today it’s CSV export. Realistic time: 5 minutes per client per month.”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Xd25d56109695cfb6139bdb6fbc63d20817ff0e4"/>
    <w:p>
      <w:pPr>
        <w:pStyle w:val="Heading2"/>
      </w:pPr>
      <w:r>
        <w:t xml:space="preserve">Section 3 · Create your first close period (4 min)</w:t>
      </w:r>
    </w:p>
    <w:p>
      <w:pPr>
        <w:pStyle w:val="FirstParagraph"/>
      </w:pPr>
      <w:r>
        <w:t xml:space="preserve">This is where the</w:t>
      </w:r>
      <w:r>
        <w:t xml:space="preserve"> </w:t>
      </w:r>
      <w:r>
        <w:rPr>
          <w:b/>
          <w:bCs/>
        </w:rPr>
        <w:t xml:space="preserve">adaptive profile</w:t>
      </w:r>
      <w:r>
        <w:t xml:space="preserve"> </w:t>
      </w:r>
      <w:r>
        <w:t xml:space="preserve">does the work. Spend the most time here.</w:t>
      </w:r>
    </w:p>
    <w:bookmarkStart w:id="22" w:name="what-to-do-1"/>
    <w:p>
      <w:pPr>
        <w:pStyle w:val="Heading3"/>
      </w:pPr>
      <w:r>
        <w:t xml:space="preserve">What to do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/close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Close Period</w:t>
      </w:r>
    </w:p>
    <w:p>
      <w:pPr>
        <w:pStyle w:val="Compact"/>
        <w:numPr>
          <w:ilvl w:val="0"/>
          <w:numId w:val="1007"/>
        </w:numPr>
      </w:pPr>
      <w:r>
        <w:t xml:space="preserve">Name it</w:t>
      </w:r>
      <w:r>
        <w:t xml:space="preserve"> </w:t>
      </w:r>
      <w:r>
        <w:rPr>
          <w:i/>
          <w:iCs/>
        </w:rPr>
        <w:t xml:space="preserve">“April 2026 Close — Demo”</w:t>
      </w:r>
      <w:r>
        <w:t xml:space="preserve">. Pick the connection. Pick April dates.</w:t>
      </w:r>
    </w:p>
    <w:p>
      <w:pPr>
        <w:pStyle w:val="Compact"/>
        <w:numPr>
          <w:ilvl w:val="0"/>
          <w:numId w:val="1007"/>
        </w:numPr>
      </w:pPr>
      <w:r>
        <w:t xml:space="preserve">Stop on the</w:t>
      </w:r>
      <w:r>
        <w:t xml:space="preserve"> </w:t>
      </w:r>
      <w:r>
        <w:rPr>
          <w:b/>
          <w:bCs/>
        </w:rPr>
        <w:t xml:space="preserve">profile picker</w:t>
      </w:r>
      <w:r>
        <w:t xml:space="preserve">. Don’t click yet.</w:t>
      </w:r>
    </w:p>
    <w:bookmarkEnd w:id="22"/>
    <w:bookmarkStart w:id="23" w:name="what-to-say-at-the-profile-picker"/>
    <w:p>
      <w:pPr>
        <w:pStyle w:val="Heading3"/>
      </w:pPr>
      <w:r>
        <w:t xml:space="preserve">What to say at the profile picker</w:t>
      </w:r>
    </w:p>
    <w:p>
      <w:pPr>
        <w:pStyle w:val="BlockText"/>
      </w:pPr>
      <w:r>
        <w:rPr>
          <w:i/>
          <w:iCs/>
        </w:rPr>
        <w:t xml:space="preserve">“This is the first piece you’d really care about. Four shapes:”</w:t>
      </w:r>
    </w:p>
    <w:p>
      <w:pPr>
        <w:pStyle w:val="FirstParagraph"/>
      </w:pPr>
      <w:r>
        <w:t xml:space="preserve">Point at each card in turn: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b/>
          <w:bCs/>
          <w:i/>
          <w:iCs/>
        </w:rPr>
        <w:t xml:space="preserve">Standard</w:t>
      </w:r>
      <w:r>
        <w:rPr>
          <w:i/>
          <w:iCs/>
        </w:rPr>
        <w:t xml:space="preserve"> </w:t>
      </w:r>
      <w:r>
        <w:rPr>
          <w:i/>
          <w:iCs/>
        </w:rPr>
        <w:t xml:space="preserve">— your usual monthly close. 8-14 tasks. P&amp;L review, BS review, recons, flux, sign-off. Use this for 80% of months.”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b/>
          <w:bCs/>
          <w:i/>
          <w:iCs/>
        </w:rPr>
        <w:t xml:space="preserve">Quick</w:t>
      </w:r>
      <w:r>
        <w:rPr>
          <w:i/>
          <w:iCs/>
        </w:rPr>
        <w:t xml:space="preserve"> </w:t>
      </w:r>
      <w:r>
        <w:rPr>
          <w:i/>
          <w:iCs/>
        </w:rPr>
        <w:t xml:space="preserve">— bank recon, criticals, sign-off. 3-6 tasks. Use this for an interim close, or when you’re 90% sure nothing’s weird.”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b/>
          <w:bCs/>
          <w:i/>
          <w:iCs/>
        </w:rPr>
        <w:t xml:space="preserve">Year-end</w:t>
      </w:r>
      <w:r>
        <w:rPr>
          <w:i/>
          <w:iCs/>
        </w:rPr>
        <w:t xml:space="preserve"> </w:t>
      </w:r>
      <w:r>
        <w:rPr>
          <w:i/>
          <w:iCs/>
        </w:rPr>
        <w:t xml:space="preserve">— Standard plus year-end accruals, depreciation, 26AS recon, physical stock count, year-on-year flux. We auto-suggest this when your end date is March 31.”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b/>
          <w:bCs/>
          <w:i/>
          <w:iCs/>
        </w:rPr>
        <w:t xml:space="preserve">Adaptive</w:t>
      </w:r>
      <w:r>
        <w:rPr>
          <w:i/>
          <w:iCs/>
        </w:rPr>
        <w:t xml:space="preserve"> </w:t>
      </w:r>
      <w:r>
        <w:rPr>
          <w:i/>
          <w:iCs/>
        </w:rPr>
        <w:t xml:space="preserve">— this is the one I want to show you.”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Adaptive</w:t>
      </w:r>
      <w:r>
        <w:t xml:space="preserve">. Click Next.</w:t>
      </w:r>
    </w:p>
    <w:bookmarkEnd w:id="23"/>
    <w:bookmarkStart w:id="24" w:name="the-step-2-magic"/>
    <w:p>
      <w:pPr>
        <w:pStyle w:val="Heading3"/>
      </w:pPr>
      <w:r>
        <w:t xml:space="preserve">The Step 2 magic</w:t>
      </w:r>
    </w:p>
    <w:p>
      <w:pPr>
        <w:pStyle w:val="FirstParagraph"/>
      </w:pPr>
      <w:r>
        <w:t xml:space="preserve">Paste your</w:t>
      </w:r>
      <w:r>
        <w:t xml:space="preserve"> </w:t>
      </w:r>
      <w:r>
        <w:rPr>
          <w:b/>
          <w:bCs/>
        </w:rPr>
        <w:t xml:space="preserve">Prompt B</w:t>
      </w:r>
      <w:r>
        <w:t xml:space="preserve"> </w:t>
      </w:r>
      <w:r>
        <w:t xml:space="preserve">(one-time bonus + GST change).</w:t>
      </w:r>
    </w:p>
    <w:p>
      <w:pPr>
        <w:pStyle w:val="BlockText"/>
      </w:pPr>
      <w:r>
        <w:rPr>
          <w:i/>
          <w:iCs/>
        </w:rPr>
        <w:t xml:space="preserve">“In English, Hindi, or Hinglish — anything you’d tell your CA. The system parses this and adds custom watch tasks based on what you said.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Watch this.</w:t>
      </w:r>
      <w:r>
        <w:rPr>
          <w:i/>
          <w:iCs/>
        </w:rPr>
        <w:t xml:space="preserve">”</w:t>
      </w:r>
    </w:p>
    <w:p>
      <w:pPr>
        <w:pStyle w:val="FirstParagraph"/>
      </w:pPr>
      <w:r>
        <w:t xml:space="preserve">Click Next.</w:t>
      </w:r>
    </w:p>
    <w:bookmarkEnd w:id="24"/>
    <w:bookmarkStart w:id="25" w:name="what-to-point-at-on-the-preview-screen"/>
    <w:p>
      <w:pPr>
        <w:pStyle w:val="Heading3"/>
      </w:pPr>
      <w:r>
        <w:t xml:space="preserve">What to point at on the Preview screen</w:t>
      </w:r>
    </w:p>
    <w:p>
      <w:pPr>
        <w:pStyle w:val="Compact"/>
        <w:numPr>
          <w:ilvl w:val="0"/>
          <w:numId w:val="1008"/>
        </w:numPr>
      </w:pPr>
      <w:r>
        <w:t xml:space="preserve">The diff banner:</w:t>
      </w:r>
      <w:r>
        <w:t xml:space="preserve"> </w:t>
      </w:r>
      <w:r>
        <w:t xml:space="preserve">“+2 added, -0 removed, 7 kept vs Standard”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Show added tasks</w:t>
      </w:r>
      <w:r>
        <w:t xml:space="preserve"> </w:t>
      </w:r>
      <w:r>
        <w:t xml:space="preserve">— you’ll see two new watch tasks specifically for salary accounts and GST</w:t>
      </w:r>
    </w:p>
    <w:p>
      <w:pPr>
        <w:pStyle w:val="Compact"/>
        <w:numPr>
          <w:ilvl w:val="0"/>
          <w:numId w:val="1008"/>
        </w:numPr>
      </w:pPr>
      <w:r>
        <w:t xml:space="preserve">Scroll down to</w:t>
      </w:r>
      <w:r>
        <w:t xml:space="preserve"> </w:t>
      </w:r>
      <w:r>
        <w:rPr>
          <w:b/>
          <w:bCs/>
        </w:rPr>
        <w:t xml:space="preserve">AI understood</w:t>
      </w:r>
      <w:r>
        <w:t xml:space="preserve"> </w:t>
      </w:r>
      <w:r>
        <w:t xml:space="preserve">chips —</w:t>
      </w:r>
      <w:r>
        <w:t xml:space="preserve"> </w:t>
      </w:r>
      <w:r>
        <w:rPr>
          <w:rStyle w:val="VerbatimChar"/>
        </w:rPr>
        <w:t xml:space="preserve">focus: salary</w:t>
      </w:r>
      <w:r>
        <w:t xml:space="preserve"> </w:t>
      </w:r>
      <w:r>
        <w:rPr>
          <w:rStyle w:val="VerbatimChar"/>
        </w:rPr>
        <w:t xml:space="preserve">focus: gst</w:t>
      </w:r>
      <w:r>
        <w:t xml:space="preserve"> </w:t>
      </w:r>
      <w:r>
        <w:rPr>
          <w:rStyle w:val="VerbatimChar"/>
        </w:rPr>
        <w:t xml:space="preserve">risk: GST rate changed mid-month</w:t>
      </w:r>
    </w:p>
    <w:bookmarkEnd w:id="25"/>
    <w:bookmarkStart w:id="26" w:name="what-to-say-1"/>
    <w:p>
      <w:pPr>
        <w:pStyle w:val="Heading3"/>
      </w:pPr>
      <w:r>
        <w:t xml:space="preserve">What to say</w:t>
      </w:r>
    </w:p>
    <w:p>
      <w:pPr>
        <w:pStyle w:val="BlockText"/>
      </w:pPr>
      <w:r>
        <w:rPr>
          <w:i/>
          <w:iCs/>
        </w:rPr>
        <w:t xml:space="preserve">“Two extra tasks were added that wouldn’t be in a Standard close. Salary watch task, because you mentioned the bonus. The GST recon was bumped up in priority because you said the rate changed.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The system understood your concern in plain English and shaped the close around it.</w:t>
      </w:r>
      <w:r>
        <w:rPr>
          <w:i/>
          <w:iCs/>
        </w:rPr>
        <w:t xml:space="preserve">”</w:t>
      </w:r>
    </w:p>
    <w:p>
      <w:pPr>
        <w:pStyle w:val="BlockText"/>
      </w:pPr>
      <w:r>
        <w:rPr>
          <w:i/>
          <w:iCs/>
        </w:rPr>
        <w:t xml:space="preserve">“This is the closest thing in the demo to magic. The reason it’s not actually magic is — once you’ve done it for 6 months, the system stops needing the prompt. It learns the patterns of your client. We’ll get to that in a minute.”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Create Period</w:t>
      </w:r>
      <w:r>
        <w:t xml:space="preserve">.</w:t>
      </w:r>
    </w:p>
    <w:bookmarkEnd w:id="26"/>
    <w:bookmarkStart w:id="27" w:name="anticipate-1"/>
    <w:p>
      <w:pPr>
        <w:pStyle w:val="Heading3"/>
      </w:pPr>
      <w:r>
        <w:t xml:space="preserve">Anticipate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“Can I edit the tasks?”</w:t>
      </w:r>
      <w:r>
        <w:t xml:space="preserve"> </w:t>
      </w:r>
      <w:r>
        <w:t xml:space="preserve">→</w:t>
      </w:r>
      <w:r>
        <w:t xml:space="preserve"> </w:t>
      </w:r>
      <w:r>
        <w:t xml:space="preserve">“Today: not yet. On the roadmap based on early feedback. You can mark a task as not-applicable in 5 seconds.”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“What if my CFO speaks Tamil/Bengali/Marathi?”</w:t>
      </w:r>
      <w:r>
        <w:t xml:space="preserve"> </w:t>
      </w:r>
      <w:r>
        <w:t xml:space="preserve">→</w:t>
      </w:r>
      <w:r>
        <w:t xml:space="preserve"> </w:t>
      </w:r>
      <w:r>
        <w:t xml:space="preserve">“Heuristic patterns work for English/Hindi/Hinglish today. The LLM fallback handles anything Llama 3.3 understands — Tamil and Bengali work, just less precisely. Test on a real prompt before promising your client.”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0054efc26f4c66e0cc0b177f8093e21aee2d074"/>
    <w:p>
      <w:pPr>
        <w:pStyle w:val="Heading2"/>
      </w:pPr>
      <w:r>
        <w:t xml:space="preserve">Section 4 · Find what matters automatically (5 min)</w:t>
      </w:r>
    </w:p>
    <w:p>
      <w:pPr>
        <w:pStyle w:val="FirstParagraph"/>
      </w:pPr>
      <w:r>
        <w:t xml:space="preserve">This is the longest section because it’s where the</w:t>
      </w:r>
      <w:r>
        <w:t xml:space="preserve"> </w:t>
      </w:r>
      <w:r>
        <w:rPr>
          <w:b/>
          <w:bCs/>
        </w:rPr>
        <w:t xml:space="preserve">time-saved-per-month</w:t>
      </w:r>
      <w:r>
        <w:t xml:space="preserve"> </w:t>
      </w:r>
      <w:r>
        <w:t xml:space="preserve">number gets real.</w:t>
      </w:r>
    </w:p>
    <w:bookmarkStart w:id="29" w:name="what-to-do-2"/>
    <w:p>
      <w:pPr>
        <w:pStyle w:val="Heading3"/>
      </w:pPr>
      <w:r>
        <w:t xml:space="preserve">What to do</w:t>
      </w:r>
    </w:p>
    <w:p>
      <w:pPr>
        <w:pStyle w:val="Compact"/>
        <w:numPr>
          <w:ilvl w:val="0"/>
          <w:numId w:val="1010"/>
        </w:numPr>
      </w:pPr>
      <w:r>
        <w:t xml:space="preserve">You’re on the new April close period detail page</w:t>
      </w:r>
    </w:p>
    <w:p>
      <w:pPr>
        <w:pStyle w:val="Compact"/>
        <w:numPr>
          <w:ilvl w:val="0"/>
          <w:numId w:val="1010"/>
        </w:numPr>
      </w:pPr>
      <w:r>
        <w:t xml:space="preserve">Scroll past the readiness card to the</w:t>
      </w:r>
      <w:r>
        <w:t xml:space="preserve"> </w:t>
      </w:r>
      <w:r>
        <w:rPr>
          <w:b/>
          <w:bCs/>
        </w:rPr>
        <w:t xml:space="preserve">task list</w:t>
      </w:r>
    </w:p>
    <w:p>
      <w:pPr>
        <w:pStyle w:val="Compact"/>
        <w:numPr>
          <w:ilvl w:val="0"/>
          <w:numId w:val="1010"/>
        </w:numPr>
      </w:pPr>
      <w:r>
        <w:t xml:space="preserve">Click into one of the</w:t>
      </w:r>
      <w:r>
        <w:t xml:space="preserve"> </w:t>
      </w:r>
      <w:r>
        <w:rPr>
          <w:rStyle w:val="VerbatimChar"/>
        </w:rPr>
        <w:t xml:space="preserve">Resolve N voucher(s) where Dr ≠ Cr</w:t>
      </w:r>
      <w:r>
        <w:t xml:space="preserve"> </w:t>
      </w:r>
      <w:r>
        <w:t xml:space="preserve">tasks (one of the auto-generated anomaly tasks)</w:t>
      </w:r>
    </w:p>
    <w:bookmarkEnd w:id="29"/>
    <w:bookmarkStart w:id="30" w:name="what-to-point-at-1"/>
    <w:p>
      <w:pPr>
        <w:pStyle w:val="Heading3"/>
      </w:pPr>
      <w:r>
        <w:t xml:space="preserve">What to point at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affected rows table</w:t>
      </w:r>
      <w:r>
        <w:t xml:space="preserve"> </w:t>
      </w:r>
      <w:r>
        <w:t xml:space="preserve">— actual voucher numbers, dates, debit/credit amounts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“Is this normal?”</w:t>
      </w:r>
      <w:r>
        <w:rPr>
          <w:b/>
          <w:bCs/>
        </w:rP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below the table</w:t>
      </w:r>
    </w:p>
    <w:p>
      <w:pPr>
        <w:pStyle w:val="Compact"/>
        <w:numPr>
          <w:ilvl w:val="0"/>
          <w:numId w:val="1011"/>
        </w:numPr>
      </w:pPr>
      <w:r>
        <w:t xml:space="preserve">(For the pre-loaded scenario): some tasks should already be</w:t>
      </w:r>
      <w:r>
        <w:t xml:space="preserve"> </w:t>
      </w:r>
      <w:r>
        <w:rPr>
          <w:b/>
          <w:bCs/>
        </w:rPr>
        <w:t xml:space="preserve">auto-resolved</w:t>
      </w:r>
      <w:r>
        <w:t xml:space="preserve"> </w:t>
      </w:r>
      <w:r>
        <w:t xml:space="preserve">with notes saying</w:t>
      </w:r>
      <w:r>
        <w:t xml:space="preserve"> </w:t>
      </w:r>
      <w:r>
        <w:rPr>
          <w:i/>
          <w:iCs/>
        </w:rPr>
        <w:t xml:space="preserve">“Auto-resolved from knowledge base. Prior answer: …”</w:t>
      </w:r>
    </w:p>
    <w:bookmarkEnd w:id="30"/>
    <w:bookmarkStart w:id="31" w:name="what-to-say-2"/>
    <w:p>
      <w:pPr>
        <w:pStyle w:val="Heading3"/>
      </w:pPr>
      <w:r>
        <w:t xml:space="preserve">What to say</w:t>
      </w:r>
    </w:p>
    <w:p>
      <w:pPr>
        <w:pStyle w:val="BlockText"/>
      </w:pPr>
      <w:r>
        <w:rPr>
          <w:i/>
          <w:iCs/>
        </w:rPr>
        <w:t xml:space="preserve">“Eight vouchers had Dr ≠ Cr. The system found them in 30 seconds. Without this, you’d find them on day 2 of testing —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assuming you find them at all.</w:t>
      </w:r>
      <w:r>
        <w:rPr>
          <w:i/>
          <w:iCs/>
        </w:rPr>
        <w:t xml:space="preserve">”</w:t>
      </w:r>
    </w:p>
    <w:p>
      <w:pPr>
        <w:pStyle w:val="BlockText"/>
      </w:pPr>
      <w:r>
        <w:rPr>
          <w:i/>
          <w:iCs/>
        </w:rPr>
        <w:t xml:space="preserve">“Now — here’s the part that matters. Look at this task here.”</w:t>
      </w:r>
      <w:r>
        <w:t xml:space="preserve"> </w:t>
      </w:r>
      <w:r>
        <w:t xml:space="preserve">[point at one of the auto-resolved ones]</w:t>
      </w:r>
    </w:p>
    <w:p>
      <w:pPr>
        <w:pStyle w:val="BlockText"/>
      </w:pPr>
      <w:r>
        <w:rPr>
          <w:i/>
          <w:iCs/>
        </w:rPr>
        <w:t xml:space="preserve">“Last month I confirmed three similar imbalances were just data-entry typos by my junior.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 never had to look at this task in April. It auto-resolved with my prior answer attached as the note.</w:t>
      </w:r>
      <w:r>
        <w:rPr>
          <w:i/>
          <w:iCs/>
        </w:rPr>
        <w:t xml:space="preserve"> </w:t>
      </w:r>
      <w:r>
        <w:rPr>
          <w:i/>
          <w:iCs/>
        </w:rPr>
        <w:t xml:space="preserve">That’s 15 minutes of investigation I didn’t do this month.”</w:t>
      </w:r>
    </w:p>
    <w:p>
      <w:pPr>
        <w:pStyle w:val="BlockText"/>
      </w:pPr>
      <w:r>
        <w:rPr>
          <w:i/>
          <w:iCs/>
        </w:rPr>
        <w:t xml:space="preserve">“But — and this is important — the system has a precision check.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If next month there are 30 imbalances instead of 3, it stops auto-resolving and shows me the prior answer with a warning: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‘scale changed, please review.’</w:t>
      </w:r>
      <w:r>
        <w:rPr>
          <w:i/>
          <w:iCs/>
        </w:rPr>
        <w:t xml:space="preserve"> </w:t>
      </w:r>
      <w:r>
        <w:rPr>
          <w:i/>
          <w:iCs/>
        </w:rPr>
        <w:t xml:space="preserve">I’ll never get burned by it silently rubber-stamping a bigger problem.”</w:t>
      </w:r>
    </w:p>
    <w:p>
      <w:pPr>
        <w:pStyle w:val="FirstParagraph"/>
      </w:pPr>
      <w:r>
        <w:t xml:space="preserve">Now click into a task that’s NOT auto-resolved. Click</w:t>
      </w:r>
      <w:r>
        <w:t xml:space="preserve"> </w:t>
      </w:r>
      <w:r>
        <w:rPr>
          <w:b/>
          <w:bCs/>
        </w:rPr>
        <w:t xml:space="preserve">Yes — normal</w:t>
      </w:r>
      <w:r>
        <w:t xml:space="preserve">. Add a note:</w:t>
      </w:r>
      <w:r>
        <w:t xml:space="preserve"> </w:t>
      </w:r>
      <w:r>
        <w:rPr>
          <w:i/>
          <w:iCs/>
        </w:rPr>
        <w:t xml:space="preserve">“Vendor invoice timing — paid same day as receipt”</w:t>
      </w:r>
    </w:p>
    <w:p>
      <w:pPr>
        <w:pStyle w:val="BlockText"/>
      </w:pPr>
      <w:r>
        <w:rPr>
          <w:i/>
          <w:iCs/>
        </w:rPr>
        <w:t xml:space="preserve">“That’s it. 5 seconds. Saved forever. Next month, if the same pattern shows up at the same scale, it auto-resolves.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Different scale, it asks me again.</w:t>
      </w:r>
      <w:r>
        <w:rPr>
          <w:i/>
          <w:iCs/>
        </w:rPr>
        <w:t xml:space="preserve">”</w:t>
      </w:r>
    </w:p>
    <w:bookmarkEnd w:id="31"/>
    <w:bookmarkStart w:id="32" w:name="anticipate-2"/>
    <w:p>
      <w:pPr>
        <w:pStyle w:val="Heading3"/>
      </w:pPr>
      <w:r>
        <w:t xml:space="preserve">Anticipate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“What if I make a mistake — say something is normal when it isn’t?”</w:t>
      </w:r>
      <w:r>
        <w:t xml:space="preserve"> </w:t>
      </w:r>
      <w:r>
        <w:t xml:space="preserve">→</w:t>
      </w:r>
      <w:r>
        <w:t xml:space="preserve"> </w:t>
      </w:r>
      <w:r>
        <w:t xml:space="preserve">“Open</w:t>
      </w:r>
      <w:r>
        <w:t xml:space="preserve"> </w:t>
      </w:r>
      <w:r>
        <w:rPr>
          <w:rStyle w:val="VerbatimChar"/>
        </w:rPr>
        <w:t xml:space="preserve">/knowledge</w:t>
      </w:r>
      <w:r>
        <w:t xml:space="preserve">, find the entry, change the verdict to REJECTED. The system stops auto-applying it. Audit trail of every change is preserved.”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“How does this work for me as an internal auditor across multiple clients?”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Honest:</w:t>
      </w:r>
      <w:r>
        <w:t xml:space="preserve"> </w:t>
      </w:r>
      <w:r>
        <w:t xml:space="preserve">“Today, one organisation per login. Multi-client view is high-priority on the roadmap. If that’s a blocker for you, tell me — I’d ship it for design partners first.”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“What about scan issues you didn’t catch?”</w:t>
      </w:r>
      <w:r>
        <w:t xml:space="preserve"> </w:t>
      </w:r>
      <w:r>
        <w:t xml:space="preserve">→</w:t>
      </w:r>
      <w:r>
        <w:t xml:space="preserve"> </w:t>
      </w:r>
      <w:r>
        <w:t xml:space="preserve">“We catch the standard ones — voucher imbalance, duplicates, date outliers, missing fields, GST mismatch, sign anomalies. We don’t catch sophisticated fraud (round-tripping, related-party, Benford’s). For that, you’d need a forensic specialist tool.”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section-5-the-privacy-moment-4-min"/>
    <w:p>
      <w:pPr>
        <w:pStyle w:val="Heading2"/>
      </w:pPr>
      <w:r>
        <w:t xml:space="preserve">Section 5 · The privacy moment (4 min)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wow. Switch to</w:t>
      </w:r>
      <w:r>
        <w:t xml:space="preserve"> </w:t>
      </w:r>
      <w:r>
        <w:rPr>
          <w:rStyle w:val="VerbatimChar"/>
        </w:rPr>
        <w:t xml:space="preserve">/llm-privacy-demo</w:t>
      </w:r>
      <w:r>
        <w:t xml:space="preserve">.</w:t>
      </w:r>
    </w:p>
    <w:bookmarkStart w:id="34" w:name="what-to-do-3"/>
    <w:p>
      <w:pPr>
        <w:pStyle w:val="Heading3"/>
      </w:pPr>
      <w:r>
        <w:t xml:space="preserve">What to do</w:t>
      </w:r>
    </w:p>
    <w:p>
      <w:pPr>
        <w:pStyle w:val="Compact"/>
        <w:numPr>
          <w:ilvl w:val="0"/>
          <w:numId w:val="1013"/>
        </w:numPr>
      </w:pPr>
      <w:r>
        <w:t xml:space="preserve">Paste</w:t>
      </w:r>
      <w:r>
        <w:t xml:space="preserve"> </w:t>
      </w:r>
      <w:r>
        <w:rPr>
          <w:b/>
          <w:bCs/>
        </w:rPr>
        <w:t xml:space="preserve">Prompt A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left column</w:t>
      </w:r>
      <w:r>
        <w:t xml:space="preserve"> </w:t>
      </w:r>
      <w:r>
        <w:t xml:space="preserve">(Reliance Industries + ₹12,50,000)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Wait 1 second.</w:t>
      </w:r>
      <w:r>
        <w:t xml:space="preserve"> </w:t>
      </w:r>
      <w:r>
        <w:t xml:space="preserve">Don’t click anything. Watch the middle column light up automatically.</w:t>
      </w:r>
    </w:p>
    <w:p>
      <w:pPr>
        <w:pStyle w:val="Compact"/>
        <w:numPr>
          <w:ilvl w:val="0"/>
          <w:numId w:val="1013"/>
        </w:numPr>
      </w:pPr>
      <w:r>
        <w:t xml:space="preserve">Point at the middle column.</w:t>
      </w:r>
    </w:p>
    <w:bookmarkEnd w:id="34"/>
    <w:bookmarkStart w:id="35" w:name="what-to-say-3"/>
    <w:p>
      <w:pPr>
        <w:pStyle w:val="Heading3"/>
      </w:pPr>
      <w:r>
        <w:t xml:space="preserve">What to say</w:t>
      </w:r>
    </w:p>
    <w:p>
      <w:pPr>
        <w:pStyle w:val="BlockText"/>
      </w:pPr>
      <w:r>
        <w:rPr>
          <w:i/>
          <w:iCs/>
        </w:rPr>
        <w:t xml:space="preserve">“Look at the middle. Reliance Industries became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VENDOR_T0001</w:t>
      </w:r>
      <w:r>
        <w:rPr>
          <w:i/>
          <w:iCs/>
        </w:rPr>
        <w:t xml:space="preserve">. ₹12,50,000 became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AMOUNT_T0001</w:t>
      </w:r>
      <w:r>
        <w:rPr>
          <w:i/>
          <w:iCs/>
        </w:rPr>
        <w:t xml:space="preserve">. INV-2024-0892 became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ACCT_T0001</w:t>
      </w:r>
      <w:r>
        <w:rPr>
          <w:i/>
          <w:iCs/>
        </w:rPr>
        <w:t xml:space="preserve">. Mr Kumar became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EMPLOYEE_T0001</w:t>
      </w:r>
      <w:r>
        <w:rPr>
          <w:i/>
          <w:iCs/>
        </w:rPr>
        <w:t xml:space="preserve">.”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b/>
          <w:bCs/>
          <w:i/>
          <w:iCs/>
        </w:rPr>
        <w:t xml:space="preserve">This is what would leave my box if I asked OpenAI this question.</w:t>
      </w:r>
      <w:r>
        <w:rPr>
          <w:i/>
          <w:iCs/>
        </w:rPr>
        <w:t xml:space="preserve"> </w:t>
      </w:r>
      <w:r>
        <w:rPr>
          <w:i/>
          <w:iCs/>
        </w:rPr>
        <w:t xml:space="preserve">Real names — gone. Real amounts — gone. Real invoice number — gone. The system prompt at the top is plaintext, but that’s our prompt — there’s no client data in it.”</w:t>
      </w:r>
    </w:p>
    <w:p>
      <w:pPr>
        <w:pStyle w:val="FirstParagraph"/>
      </w:pPr>
      <w:r>
        <w:t xml:space="preserve">Now click</w:t>
      </w:r>
      <w:r>
        <w:t xml:space="preserve"> </w:t>
      </w:r>
      <w:r>
        <w:rPr>
          <w:b/>
          <w:bCs/>
        </w:rPr>
        <w:t xml:space="preserve">Send through proxy</w:t>
      </w:r>
      <w:r>
        <w:t xml:space="preserve">. Wait 2-3 seconds.</w:t>
      </w:r>
    </w:p>
    <w:p>
      <w:pPr>
        <w:pStyle w:val="BlockText"/>
      </w:pPr>
      <w:r>
        <w:rPr>
          <w:i/>
          <w:iCs/>
        </w:rPr>
        <w:t xml:space="preserve">“And the response comes back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with the originals restored.</w:t>
      </w:r>
      <w:r>
        <w:rPr>
          <w:i/>
          <w:iCs/>
        </w:rPr>
        <w:t xml:space="preserve"> </w:t>
      </w:r>
      <w:r>
        <w:rPr>
          <w:i/>
          <w:iCs/>
        </w:rPr>
        <w:t xml:space="preserve">OpenAI saw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VENDOR_T0001</w:t>
      </w:r>
      <w:r>
        <w:rPr>
          <w:i/>
          <w:iCs/>
        </w:rPr>
        <w:t xml:space="preserve">. I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Reliance Industries</w:t>
      </w:r>
      <w:r>
        <w:rPr>
          <w:i/>
          <w:iCs/>
        </w:rPr>
        <w:t xml:space="preserve">. They never saw the data, I got the answer.”</w:t>
      </w:r>
    </w:p>
    <w:bookmarkEnd w:id="35"/>
    <w:bookmarkStart w:id="36" w:name="X8ce430123610c0202f0703549205db52bcb95a9"/>
    <w:p>
      <w:pPr>
        <w:pStyle w:val="Heading3"/>
      </w:pPr>
      <w:r>
        <w:t xml:space="preserve">The kicker — point at the audit trail at the bottom</w:t>
      </w:r>
    </w:p>
    <w:p>
      <w:pPr>
        <w:pStyle w:val="BlockText"/>
      </w:pPr>
      <w:r>
        <w:rPr>
          <w:i/>
          <w:iCs/>
        </w:rPr>
        <w:t xml:space="preserve">“Every call goes here. What was masked, by category. Knowledge applied count. Token count. Status.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If your IT team or your client’s compliance officer asks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‘what data left the box this month’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— this is the answer.</w:t>
      </w:r>
      <w:r>
        <w:rPr>
          <w:i/>
          <w:iCs/>
        </w:rPr>
        <w:t xml:space="preserve">”</w:t>
      </w:r>
    </w:p>
    <w:bookmarkEnd w:id="36"/>
    <w:bookmarkStart w:id="37" w:name="the-financial-close"/>
    <w:p>
      <w:pPr>
        <w:pStyle w:val="Heading3"/>
      </w:pPr>
      <w:r>
        <w:t xml:space="preserve">The financial close</w:t>
      </w:r>
    </w:p>
    <w:p>
      <w:pPr>
        <w:pStyle w:val="BlockText"/>
      </w:pPr>
      <w:r>
        <w:rPr>
          <w:i/>
          <w:iCs/>
        </w:rPr>
        <w:t xml:space="preserve">“And here’s the punchline: this is your OpenAI key. Your account. Your bill. We’re not making money on the LLM call — we’re the privacy layer in between.”</w:t>
      </w:r>
    </w:p>
    <w:p>
      <w:pPr>
        <w:pStyle w:val="BlockText"/>
      </w:pPr>
      <w:r>
        <w:rPr>
          <w:i/>
          <w:iCs/>
        </w:rPr>
        <w:t xml:space="preserve">“You’ve probably already used ChatGPT to draft a client email or summarise a circular.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Today, the moment you paste a client’s name, that’s training data for OpenAI’s next model.</w:t>
      </w:r>
      <w:r>
        <w:rPr>
          <w:i/>
          <w:iCs/>
        </w:rPr>
        <w:t xml:space="preserve"> </w:t>
      </w:r>
      <w:r>
        <w:rPr>
          <w:i/>
          <w:iCs/>
        </w:rPr>
        <w:t xml:space="preserve">With this, you keep using ChatGPT. The exposure ends.”</w:t>
      </w:r>
    </w:p>
    <w:bookmarkEnd w:id="37"/>
    <w:bookmarkStart w:id="38" w:name="anticipate-3"/>
    <w:p>
      <w:pPr>
        <w:pStyle w:val="Heading3"/>
      </w:pPr>
      <w:r>
        <w:t xml:space="preserve">Anticipate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“What if your masking misses something — say my secret project name?”</w:t>
      </w:r>
      <w:r>
        <w:t xml:space="preserve"> </w:t>
      </w:r>
      <w:r>
        <w:t xml:space="preserve">→</w:t>
      </w:r>
      <w:r>
        <w:t xml:space="preserve"> </w:t>
      </w:r>
      <w:r>
        <w:t xml:space="preserve">“Best-effort masking. The audit log shows you what we caught. If something slipped through,</w:t>
      </w:r>
      <w:r>
        <w:t xml:space="preserve"> </w:t>
      </w:r>
      <w:r>
        <w:rPr>
          <w:b/>
          <w:bCs/>
        </w:rPr>
        <w:t xml:space="preserve">add it to your strip list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/tokenisation/config</w:t>
      </w:r>
      <w:r>
        <w:t xml:space="preserve"> </w:t>
      </w:r>
      <w:r>
        <w:t xml:space="preserve">and it gets nuked from every future call.”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“DPDP Act compliance?”</w:t>
      </w:r>
      <w:r>
        <w:t xml:space="preserve"> </w:t>
      </w:r>
      <w:r>
        <w:t xml:space="preserve">→</w:t>
      </w:r>
      <w:r>
        <w:t xml:space="preserve"> </w:t>
      </w:r>
      <w:r>
        <w:t xml:space="preserve">“I’m not your compliance officer, but the typical concern under DPDP is</w:t>
      </w:r>
      <w:r>
        <w:t xml:space="preserve"> </w:t>
      </w:r>
      <w:r>
        <w:t xml:space="preserve">‘are you sending personally identifying information to third parties without explicit consent?’</w:t>
      </w:r>
      <w:r>
        <w:t xml:space="preserve"> </w:t>
      </w:r>
      <w:r>
        <w:t xml:space="preserve">This wrapper says no — anything personally identifying becomes a token before it leaves.”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“Streaming responses?”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Honest:</w:t>
      </w:r>
      <w:r>
        <w:t xml:space="preserve"> </w:t>
      </w:r>
      <w:r>
        <w:t xml:space="preserve">“Not yet. Today’s wrapper is non-streaming. Real fix needs token-stream rewriting, that’s 1-2 weeks of work.”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section-6-the-compounding-effect-3-min"/>
    <w:p>
      <w:pPr>
        <w:pStyle w:val="Heading2"/>
      </w:pPr>
      <w:r>
        <w:t xml:space="preserve">Section 6 · The compounding effect (3 min)</w:t>
      </w:r>
    </w:p>
    <w:p>
      <w:pPr>
        <w:pStyle w:val="FirstParagraph"/>
      </w:pPr>
      <w:r>
        <w:t xml:space="preserve">Switch to</w:t>
      </w:r>
      <w:r>
        <w:t xml:space="preserve"> </w:t>
      </w:r>
      <w:r>
        <w:rPr>
          <w:rStyle w:val="VerbatimChar"/>
        </w:rPr>
        <w:t xml:space="preserve">/knowledge</w:t>
      </w:r>
      <w:r>
        <w:t xml:space="preserve">.</w:t>
      </w:r>
    </w:p>
    <w:bookmarkStart w:id="40" w:name="Xee53bd4ca56ac6b9d1034b23a775fae4b40776b"/>
    <w:p>
      <w:pPr>
        <w:pStyle w:val="Heading3"/>
      </w:pPr>
      <w:r>
        <w:t xml:space="preserve">What to point at (in the prepared demo with seeded data)</w:t>
      </w:r>
    </w:p>
    <w:p>
      <w:pPr>
        <w:pStyle w:val="Compact"/>
        <w:numPr>
          <w:ilvl w:val="0"/>
          <w:numId w:val="1015"/>
        </w:numPr>
      </w:pPr>
      <w:r>
        <w:t xml:space="preserve">Big number 1:</w:t>
      </w:r>
      <w:r>
        <w:t xml:space="preserve"> </w:t>
      </w:r>
      <w:r>
        <w:rPr>
          <w:b/>
          <w:bCs/>
        </w:rPr>
        <w:t xml:space="preserve">knowledge entries</w:t>
      </w:r>
      <w:r>
        <w:t xml:space="preserve"> </w:t>
      </w:r>
      <w:r>
        <w:t xml:space="preserve">(e.g. </w:t>
      </w:r>
      <w:r>
        <w:t xml:space="preserve">“12 entries”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Big number 2:</w:t>
      </w:r>
      <w:r>
        <w:t xml:space="preserve"> </w:t>
      </w:r>
      <w:r>
        <w:rPr>
          <w:b/>
          <w:bCs/>
        </w:rPr>
        <w:t xml:space="preserve">hit rate last 30 days</w:t>
      </w:r>
      <w:r>
        <w:t xml:space="preserve"> </w:t>
      </w:r>
      <w:r>
        <w:t xml:space="preserve">(should be 30-60% if you seeded properly)</w:t>
      </w:r>
    </w:p>
    <w:p>
      <w:pPr>
        <w:pStyle w:val="Compact"/>
        <w:numPr>
          <w:ilvl w:val="0"/>
          <w:numId w:val="1015"/>
        </w:numPr>
      </w:pPr>
      <w:r>
        <w:t xml:space="preserve">Big number 3:</w:t>
      </w:r>
      <w:r>
        <w:t xml:space="preserve"> </w:t>
      </w:r>
      <w:r>
        <w:rPr>
          <w:b/>
          <w:bCs/>
        </w:rPr>
        <w:t xml:space="preserve">embedded for fuzzy match</w:t>
      </w:r>
      <w:r>
        <w:t xml:space="preserve"> </w:t>
      </w:r>
      <w:r>
        <w:t xml:space="preserve">(100% if Ollama is running, else might be 0% — that’s fine, fall back to keyword)</w:t>
      </w:r>
    </w:p>
    <w:bookmarkEnd w:id="40"/>
    <w:bookmarkStart w:id="41" w:name="what-to-say-4"/>
    <w:p>
      <w:pPr>
        <w:pStyle w:val="Heading3"/>
      </w:pPr>
      <w:r>
        <w:t xml:space="preserve">What to say</w:t>
      </w:r>
    </w:p>
    <w:p>
      <w:pPr>
        <w:pStyle w:val="BlockText"/>
      </w:pPr>
      <w:r>
        <w:rPr>
          <w:i/>
          <w:iCs/>
        </w:rPr>
        <w:t xml:space="preserve">“Twelve entries from this morning’s seeded closes.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Hit rate of [X]% — meaning [X]% of LLM calls last month started from your accumulated answers, not from scratch.</w:t>
      </w:r>
      <w:r>
        <w:rPr>
          <w:i/>
          <w:iCs/>
        </w:rPr>
        <w:t xml:space="preserve">”</w:t>
      </w:r>
    </w:p>
    <w:p>
      <w:pPr>
        <w:pStyle w:val="BlockText"/>
      </w:pPr>
      <w:r>
        <w:rPr>
          <w:i/>
          <w:iCs/>
        </w:rPr>
        <w:t xml:space="preserve">“The first month, this number is low — you’re teaching the system.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By month 6, it’s 70-80%. By year 2, it’s 90%.</w:t>
      </w:r>
      <w:r>
        <w:rPr>
          <w:i/>
          <w:iCs/>
        </w:rPr>
        <w:t xml:space="preserve"> </w:t>
      </w:r>
      <w:r>
        <w:rPr>
          <w:i/>
          <w:iCs/>
        </w:rPr>
        <w:t xml:space="preserve">Your cost per LLM call drops because most queries don’t need fresh inference. More importantly — this is your CA brain, captured.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If you stop using AIQL, you lose months of that brain.</w:t>
      </w:r>
      <w:r>
        <w:rPr>
          <w:i/>
          <w:iCs/>
        </w:rPr>
        <w:t xml:space="preserve">”</w:t>
      </w:r>
    </w:p>
    <w:p>
      <w:pPr>
        <w:pStyle w:val="BlockText"/>
      </w:pPr>
      <w:r>
        <w:rPr>
          <w:i/>
          <w:iCs/>
        </w:rPr>
        <w:t xml:space="preserve">“That’s not contractual lock-in — that’s value lock-in. We earn our keep every month or you walk.”</w:t>
      </w:r>
    </w:p>
    <w:bookmarkEnd w:id="41"/>
    <w:bookmarkStart w:id="42" w:name="anticipate-4"/>
    <w:p>
      <w:pPr>
        <w:pStyle w:val="Heading3"/>
      </w:pPr>
      <w:r>
        <w:t xml:space="preserve">Anticipate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“Can I export this?”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Honest:</w:t>
      </w:r>
      <w:r>
        <w:t xml:space="preserve"> </w:t>
      </w:r>
      <w:r>
        <w:t xml:space="preserve">“PDF audit pack export is on the roadmap. Today it’s UI + audit table. If that’s a blocker for your peer review, flag it.”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“What if the embeddings are wrong?”</w:t>
      </w:r>
      <w:r>
        <w:t xml:space="preserve"> </w:t>
      </w:r>
      <w:r>
        <w:t xml:space="preserve">→</w:t>
      </w:r>
      <w:r>
        <w:t xml:space="preserve"> </w:t>
      </w:r>
      <w:r>
        <w:t xml:space="preserve">“Two-tier system: vector search via local Ollama if available, keyword fallback if not. Either way, you see the matches before they’re applied — except for silent auto-resolve, which now has the scale-precision check we added in the last build.”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section-7-honest-gaps-close-3-min"/>
    <w:p>
      <w:pPr>
        <w:pStyle w:val="Heading2"/>
      </w:pPr>
      <w:r>
        <w:t xml:space="preserve">Section 7 · Honest gaps + close (3 min)</w:t>
      </w:r>
    </w:p>
    <w:p>
      <w:pPr>
        <w:pStyle w:val="FirstParagraph"/>
      </w:pPr>
      <w:r>
        <w:rPr>
          <w:b/>
          <w:bCs/>
        </w:rPr>
        <w:t xml:space="preserve">Don’t skip this.</w:t>
      </w:r>
      <w:r>
        <w:t xml:space="preserve"> </w:t>
      </w:r>
      <w:r>
        <w:t xml:space="preserve">CAs respect honesty. If you over-promise and they hit a gap, the deal dies. If you flag the gap upfront, you bank credibility.</w:t>
      </w:r>
    </w:p>
    <w:bookmarkStart w:id="44" w:name="what-to-say-5"/>
    <w:p>
      <w:pPr>
        <w:pStyle w:val="Heading3"/>
      </w:pPr>
      <w:r>
        <w:t xml:space="preserve">What to say</w:t>
      </w:r>
    </w:p>
    <w:p>
      <w:pPr>
        <w:pStyle w:val="BlockText"/>
      </w:pPr>
      <w:r>
        <w:rPr>
          <w:i/>
          <w:iCs/>
        </w:rPr>
        <w:t xml:space="preserve">“Three honest things to flag before you go back to your office:”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b/>
          <w:bCs/>
          <w:i/>
          <w:iCs/>
        </w:rPr>
        <w:t xml:space="preserve">One.</w:t>
      </w:r>
      <w:r>
        <w:rPr>
          <w:i/>
          <w:iCs/>
        </w:rPr>
        <w:t xml:space="preserve"> </w:t>
      </w:r>
      <w:r>
        <w:rPr>
          <w:i/>
          <w:iCs/>
        </w:rPr>
        <w:t xml:space="preserve">No direct Tally sync today. CSV export every month — call it 5 minutes per client. Tally connector is on the roadmap, probably 2 weeks of work, top priority once we have a paying customer.”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b/>
          <w:bCs/>
          <w:i/>
          <w:iCs/>
        </w:rPr>
        <w:t xml:space="preserve">Two.</w:t>
      </w:r>
      <w:r>
        <w:rPr>
          <w:i/>
          <w:iCs/>
        </w:rPr>
        <w:t xml:space="preserve"> </w:t>
      </w:r>
      <w:r>
        <w:rPr>
          <w:i/>
          <w:iCs/>
        </w:rPr>
        <w:t xml:space="preserve">We don’t file GSTR or ITR. This is the books-closure layer, not the filing layer. You keep Winman, Genius, your portal logins. We feed them clean data.”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b/>
          <w:bCs/>
          <w:i/>
          <w:iCs/>
        </w:rPr>
        <w:t xml:space="preserve">Three.</w:t>
      </w:r>
      <w:r>
        <w:rPr>
          <w:i/>
          <w:iCs/>
        </w:rPr>
        <w:t xml:space="preserve"> </w:t>
      </w:r>
      <w:r>
        <w:rPr>
          <w:i/>
          <w:iCs/>
        </w:rPr>
        <w:t xml:space="preserve">Forensic / fraud detection beyond the obvious — round-tripping, related-party patterns, Benford’s law — we don’t do. If you do forensic engagements, this won’t replace your specialist tool. It’ll feed it.”</w:t>
      </w:r>
    </w:p>
    <w:p>
      <w:pPr>
        <w:pStyle w:val="BlockText"/>
      </w:pPr>
      <w:r>
        <w:rPr>
          <w:i/>
          <w:iCs/>
        </w:rPr>
        <w:t xml:space="preserve">“What this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does</w:t>
      </w:r>
      <w:r>
        <w:rPr>
          <w:i/>
          <w:iCs/>
        </w:rPr>
        <w:t xml:space="preserve"> </w:t>
      </w:r>
      <w:r>
        <w:rPr>
          <w:i/>
          <w:iCs/>
        </w:rPr>
        <w:t xml:space="preserve">do is the time-suck of monthly close. The repetitive scrutiny, the</w:t>
      </w:r>
      <w:r>
        <w:rPr>
          <w:i/>
          <w:iCs/>
        </w:rPr>
        <w:t xml:space="preserve"> </w:t>
      </w:r>
      <w:r>
        <w:rPr>
          <w:i/>
          <w:iCs/>
        </w:rPr>
        <w:t xml:space="preserve">‘is this normal’</w:t>
      </w:r>
      <w:r>
        <w:rPr>
          <w:i/>
          <w:iCs/>
        </w:rPr>
        <w:t xml:space="preserve"> </w:t>
      </w:r>
      <w:r>
        <w:rPr>
          <w:i/>
          <w:iCs/>
        </w:rPr>
        <w:t xml:space="preserve">judgment that gets repeated every month, the privacy headache when you want to use ChatGPT for a client query.”</w:t>
      </w:r>
    </w:p>
    <w:bookmarkEnd w:id="44"/>
    <w:bookmarkStart w:id="45" w:name="the-ask"/>
    <w:p>
      <w:pPr>
        <w:pStyle w:val="Heading3"/>
      </w:pPr>
      <w:r>
        <w:t xml:space="preserve">The ask</w:t>
      </w:r>
    </w:p>
    <w:p>
      <w:pPr>
        <w:pStyle w:val="BlockText"/>
      </w:pPr>
      <w:r>
        <w:rPr>
          <w:i/>
          <w:iCs/>
        </w:rPr>
        <w:t xml:space="preserve">“I’m looking for two or three CAs to work with as design partners over the next 60 days. Half-price, weekly feedback calls, you shape what gets built next.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Are you in?</w:t>
      </w:r>
      <w:r>
        <w:rPr>
          <w:i/>
          <w:iCs/>
        </w:rPr>
        <w:t xml:space="preserve">”</w:t>
      </w:r>
    </w:p>
    <w:p>
      <w:pPr>
        <w:pStyle w:val="FirstParagraph"/>
      </w:pPr>
      <w:r>
        <w:t xml:space="preserve">That’s the close. Don’t keep talking. Wait.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appendix-a-faq-what-theyll-likely-ask"/>
    <w:p>
      <w:pPr>
        <w:pStyle w:val="Heading2"/>
      </w:pPr>
      <w:r>
        <w:t xml:space="preserve">Appendix A · FAQ — what they’ll likely ask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Honest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What’s the pricing?</w:t>
            </w:r>
          </w:p>
        </w:tc>
        <w:tc>
          <w:tcPr/>
          <w:p>
            <w:pPr>
              <w:pStyle w:val="Compact"/>
            </w:pPr>
            <w:r>
              <w:t xml:space="preserve">“Three tiers depending on use case. Privacy proxy alone for a small firm: ~₹3-5k/month. Close management + privacy for an SME (up to 5 seats): ~₹500/seat/month. Audit firm complementary tool: ~₹15-20k/seat/year. Pilot is half of any of these for 60 days.”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about my data security?</w:t>
            </w:r>
          </w:p>
        </w:tc>
        <w:tc>
          <w:tcPr/>
          <w:p>
            <w:pPr>
              <w:pStyle w:val="Compact"/>
            </w:pPr>
            <w:r>
              <w:t xml:space="preserve">“GL data lives in our Postgres, encrypted at rest with AES-256-GCM. Your LLM keys: same. Database is on AWS RDS (ap-south-1). Single-tenant data, multi-tenant infrastructure. Soc-2 isn’t done yet — being honest.”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 my client see my notes?</w:t>
            </w:r>
          </w:p>
        </w:tc>
        <w:tc>
          <w:tcPr/>
          <w:p>
            <w:pPr>
              <w:pStyle w:val="Compact"/>
            </w:pPr>
            <w:r>
              <w:t xml:space="preserve">“Per-org scoping at every level. Your client’s org is separate from your firm’s org. They never see your audit notes.”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if AIQL goes down?</w:t>
            </w:r>
          </w:p>
        </w:tc>
        <w:tc>
          <w:tcPr/>
          <w:p>
            <w:pPr>
              <w:pStyle w:val="Compact"/>
            </w:pPr>
            <w:r>
              <w:t xml:space="preserve">“Real risk for a small startup. Migration path: every knowledge entry is in your Postgres, exportable. You’d lose the auto-resolve smarts but not the data.”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What’s your roadmap?</w:t>
            </w:r>
          </w:p>
        </w:tc>
        <w:tc>
          <w:tcPr/>
          <w:p>
            <w:pPr>
              <w:pStyle w:val="Compact"/>
            </w:pPr>
            <w:r>
              <w:t xml:space="preserve">Direct from my recommendation: (1) Tally connector. (2) Multi-client console. (3) Drill-down from anomaly to underlying entries. (4) Streaming proxy responses. (5) PDF audit pack export.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should I trust the auto-resolve?</w:t>
            </w:r>
          </w:p>
        </w:tc>
        <w:tc>
          <w:tcPr/>
          <w:p>
            <w:pPr>
              <w:pStyle w:val="Compact"/>
            </w:pPr>
            <w:r>
              <w:t xml:space="preserve">“Three protections: (1) Only verdicts you marked NORMAL+ALWAYS get applied. (2) Scale check — if current is materially larger than what you confirmed, it pauses and asks. (3) Full audit trail — you can see every auto-resolve and reverse it.”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Tally / Zoho / SAP integration?</w:t>
            </w:r>
          </w:p>
        </w:tc>
        <w:tc>
          <w:tcPr/>
          <w:p>
            <w:pPr>
              <w:pStyle w:val="Compact"/>
            </w:pPr>
            <w:r>
              <w:t xml:space="preserve">Tally on roadmap (top priority). Zoho Books — possible, second priority. SAP — different beast, would do for a paying customer.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if I want to leave?</w:t>
            </w:r>
          </w:p>
        </w:tc>
        <w:tc>
          <w:tcPr/>
          <w:p>
            <w:pPr>
              <w:pStyle w:val="Compact"/>
            </w:pPr>
            <w:r>
              <w:t xml:space="preserve">“Export your knowledge base as JSON. Export audit logs. Done. No vendor lock-in beyond the value-lock of your accumulated knowledge — which honestly is replicable in any system if you have the JSON.”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0" w:name="Xd6238f0ddfb25a020dc9101bc311607db39a3d2"/>
    <w:p>
      <w:pPr>
        <w:pStyle w:val="Heading2"/>
      </w:pPr>
      <w:r>
        <w:t xml:space="preserve">Appendix B · Sample data + prompts to keep ready</w:t>
      </w:r>
    </w:p>
    <w:bookmarkStart w:id="48" w:name="X76d4c43f3aac44a36258dc3edbfcd645729657f"/>
    <w:p>
      <w:pPr>
        <w:pStyle w:val="Heading3"/>
      </w:pPr>
      <w:r>
        <w:t xml:space="preserve">Sample CSV columns (if you’re generating fresh data)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voucher_no</w:t>
      </w:r>
      <w:r>
        <w:t xml:space="preserve">,</w:t>
      </w:r>
      <w:r>
        <w:t xml:space="preserve"> </w:t>
      </w:r>
      <w:r>
        <w:rPr>
          <w:rStyle w:val="VerbatimChar"/>
        </w:rPr>
        <w:t xml:space="preserve">voucher_type</w:t>
      </w:r>
      <w:r>
        <w:t xml:space="preserve"> </w:t>
      </w:r>
      <w:r>
        <w:t xml:space="preserve">(Sales / Purchase / Receipt / Payment / Journal / Contra)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account_name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account_group</w:t>
      </w:r>
      <w:r>
        <w:t xml:space="preserve"> </w:t>
      </w:r>
      <w:r>
        <w:t xml:space="preserve">(Tally-style)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debit_amount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credit_amount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vendor_name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party_name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narration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reference_number</w:t>
      </w:r>
    </w:p>
    <w:p>
      <w:pPr>
        <w:pStyle w:val="Compact"/>
        <w:numPr>
          <w:ilvl w:val="0"/>
          <w:numId w:val="1017"/>
        </w:numPr>
      </w:pPr>
      <w:r>
        <w:t xml:space="preserve">For GST scenarios: include</w:t>
      </w:r>
      <w:r>
        <w:t xml:space="preserve"> </w:t>
      </w:r>
      <w:r>
        <w:rPr>
          <w:rStyle w:val="VerbatimChar"/>
        </w:rPr>
        <w:t xml:space="preserve">cgst_amount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sgst_amount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igst_amount</w:t>
      </w:r>
    </w:p>
    <w:bookmarkEnd w:id="48"/>
    <w:bookmarkStart w:id="49" w:name="X9ed15a257a780f3a0e715e87b139dc6c37f57f4"/>
    <w:p>
      <w:pPr>
        <w:pStyle w:val="Heading3"/>
      </w:pPr>
      <w:r>
        <w:t xml:space="preserve">Pre-written prompts (copy these into a notes app, copy-paste during demo)</w:t>
      </w:r>
    </w:p>
    <w:p>
      <w:pPr>
        <w:pStyle w:val="FirstParagraph"/>
      </w:pPr>
      <w:r>
        <w:rPr>
          <w:b/>
          <w:bCs/>
        </w:rPr>
        <w:t xml:space="preserve">For Section 3 (Adaptive close):</w:t>
      </w:r>
    </w:p>
    <w:p>
      <w:pPr>
        <w:pStyle w:val="SourceCode"/>
      </w:pPr>
      <w:r>
        <w:rPr>
          <w:rStyle w:val="VerbatimChar"/>
        </w:rPr>
        <w:t xml:space="preserve">We paid a one-time bonus in March to the senior team and salary expense</w:t>
      </w:r>
      <w:r>
        <w:br/>
      </w:r>
      <w:r>
        <w:rPr>
          <w:rStyle w:val="VerbatimChar"/>
        </w:rPr>
        <w:t xml:space="preserve">jumped ₹8,75,000. Watch the salary accounts carefully. GST rate also</w:t>
      </w:r>
      <w:r>
        <w:br/>
      </w:r>
      <w:r>
        <w:rPr>
          <w:rStyle w:val="VerbatimChar"/>
        </w:rPr>
        <w:t xml:space="preserve">changed mid-month — check CGST/SGST for the second half differently.</w:t>
      </w:r>
    </w:p>
    <w:p>
      <w:pPr>
        <w:pStyle w:val="FirstParagraph"/>
      </w:pPr>
      <w:r>
        <w:rPr>
          <w:b/>
          <w:bCs/>
        </w:rPr>
        <w:t xml:space="preserve">For Section 5 (Privacy demo — vendor + amount):</w:t>
      </w:r>
    </w:p>
    <w:p>
      <w:pPr>
        <w:pStyle w:val="SourceCode"/>
      </w:pPr>
      <w:r>
        <w:rPr>
          <w:rStyle w:val="VerbatimChar"/>
        </w:rPr>
        <w:t xml:space="preserve">Reliance Industries paid us ₹12,50,000 against invoice INV-2024-0892</w:t>
      </w:r>
      <w:r>
        <w:br/>
      </w:r>
      <w:r>
        <w:rPr>
          <w:rStyle w:val="VerbatimChar"/>
        </w:rPr>
        <w:t xml:space="preserve">last month. CFO Mr Kumar wants to know if this aligns with our vendor</w:t>
      </w:r>
      <w:r>
        <w:br/>
      </w:r>
      <w:r>
        <w:rPr>
          <w:rStyle w:val="VerbatimChar"/>
        </w:rPr>
        <w:t xml:space="preserve">budget. Can you check?</w:t>
      </w:r>
    </w:p>
    <w:p>
      <w:pPr>
        <w:pStyle w:val="FirstParagraph"/>
      </w:pPr>
      <w:r>
        <w:rPr>
          <w:b/>
          <w:bCs/>
        </w:rPr>
        <w:t xml:space="preserve">For Section 5 (Privacy demo — alternative, customer + PAN):</w:t>
      </w:r>
    </w:p>
    <w:p>
      <w:pPr>
        <w:pStyle w:val="SourceCode"/>
      </w:pPr>
      <w:r>
        <w:rPr>
          <w:rStyle w:val="VerbatimChar"/>
        </w:rPr>
        <w:t xml:space="preserve">Tata Consultancy Services has an outstanding receivable of ₹45,00,000</w:t>
      </w:r>
      <w:r>
        <w:br/>
      </w:r>
      <w:r>
        <w:rPr>
          <w:rStyle w:val="VerbatimChar"/>
        </w:rPr>
        <w:t xml:space="preserve">that's now 90 days overdue. Their PAN is ABCDE1234F. Should we escalate</w:t>
      </w:r>
      <w:r>
        <w:br/>
      </w:r>
      <w:r>
        <w:rPr>
          <w:rStyle w:val="VerbatimChar"/>
        </w:rPr>
        <w:t xml:space="preserve">to legal?</w:t>
      </w:r>
    </w:p>
    <w:p>
      <w:pPr>
        <w:pStyle w:val="FirstParagraph"/>
      </w:pPr>
      <w:r>
        <w:rPr>
          <w:b/>
          <w:bCs/>
        </w:rPr>
        <w:t xml:space="preserve">For Section 6 (knowledge auto-injection):</w:t>
      </w:r>
      <w:r>
        <w:t xml:space="preserve"> </w:t>
      </w:r>
      <w:r>
        <w:t xml:space="preserve">Whatever specific anomaly you confirmed in your prep step 0.3 — ask the</w:t>
      </w:r>
      <w:r>
        <w:t xml:space="preserve"> </w:t>
      </w:r>
      <w:r>
        <w:t xml:space="preserve">proxy a paraphrase of that question. The middle column should show</w:t>
      </w:r>
      <w:r>
        <w:t xml:space="preserve"> </w:t>
      </w:r>
      <w:r>
        <w:t xml:space="preserve">“1 piece of your knowledge base auto-injected”</w:t>
      </w:r>
      <w:r>
        <w:t xml:space="preserve"> </w:t>
      </w:r>
      <w:r>
        <w:t xml:space="preserve">and the prior answer</w:t>
      </w:r>
      <w:r>
        <w:t xml:space="preserve"> </w:t>
      </w:r>
      <w:r>
        <w:t xml:space="preserve">expand-able under it.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Xd1572005bfa8064173ad9669455b08f06cab010"/>
    <w:p>
      <w:pPr>
        <w:pStyle w:val="Heading2"/>
      </w:pPr>
      <w:r>
        <w:t xml:space="preserve">Appendix C · When something goes wrong (recovery scripts)</w:t>
      </w:r>
    </w:p>
    <w:bookmarkStart w:id="51" w:name="the-dev-server-crashed-mid-demo"/>
    <w:p>
      <w:pPr>
        <w:pStyle w:val="Heading3"/>
      </w:pPr>
      <w:r>
        <w:t xml:space="preserve">“The dev server crashed mid-demo”</w:t>
      </w:r>
    </w:p>
    <w:p>
      <w:pPr>
        <w:pStyle w:val="FirstParagraph"/>
      </w:pPr>
      <w:r>
        <w:t xml:space="preserve">Don’t panic. Don’t restart in front of them. Say: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“Demo machine quirk — let me show you the audit trail directly while this comes back.”</w:t>
      </w:r>
      <w:r>
        <w:t xml:space="preserve"> </w:t>
      </w:r>
      <w:r>
        <w:t xml:space="preserve">Open the terminal off-screen, restart</w:t>
      </w:r>
      <w:r>
        <w:t xml:space="preserve"> </w:t>
      </w:r>
      <w:r>
        <w:rPr>
          <w:rStyle w:val="VerbatimChar"/>
        </w:rPr>
        <w:t xml:space="preserve">pnpm web:dev</w:t>
      </w:r>
      <w:r>
        <w:t xml:space="preserve">. Continue with screenshots if needed.</w:t>
      </w:r>
    </w:p>
    <w:bookmarkEnd w:id="51"/>
    <w:bookmarkStart w:id="52" w:name="the-llm-call-failed"/>
    <w:p>
      <w:pPr>
        <w:pStyle w:val="Heading3"/>
      </w:pPr>
      <w:r>
        <w:t xml:space="preserve">“The LLM call failed”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/llm-privacy-demo</w:t>
      </w:r>
      <w:r>
        <w:t xml:space="preserve"> </w:t>
      </w:r>
      <w:r>
        <w:t xml:space="preserve">audit trail will show the failure (</w:t>
      </w:r>
      <w:r>
        <w:rPr>
          <w:rStyle w:val="VerbatimChar"/>
        </w:rPr>
        <w:t xml:space="preserve">upstreamStatus: 401</w:t>
      </w:r>
      <w:r>
        <w:t xml:space="preserve"> </w:t>
      </w:r>
      <w:r>
        <w:t xml:space="preserve">etc). Frame it as: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“And — this also got logged. Failed call, here’s the status. Even when things break, you have the audit trail.”</w:t>
      </w:r>
    </w:p>
    <w:bookmarkEnd w:id="52"/>
    <w:bookmarkStart w:id="53" w:name="auto-resolve-didnt-fire-as-expected"/>
    <w:p>
      <w:pPr>
        <w:pStyle w:val="Heading3"/>
      </w:pPr>
      <w:r>
        <w:t xml:space="preserve">“Auto-resolve didn’t fire as expected”</w:t>
      </w:r>
    </w:p>
    <w:p>
      <w:pPr>
        <w:pStyle w:val="FirstParagraph"/>
      </w:pPr>
      <w:r>
        <w:t xml:space="preserve">This means your prep step 0.3 wasn’t done thoroughly. Pivot: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“Let me create the close from a fresh state instead — first time always shows the full anomaly list. The auto-resolve happens on the second close.”</w:t>
      </w:r>
      <w:r>
        <w:t xml:space="preserve"> </w:t>
      </w:r>
      <w:r>
        <w:t xml:space="preserve">And demo the capture flow live (Section 4).</w:t>
      </w:r>
    </w:p>
    <w:bookmarkEnd w:id="53"/>
    <w:bookmarkStart w:id="54" w:name="the-ca-asks-something-you-dont-know"/>
    <w:p>
      <w:pPr>
        <w:pStyle w:val="Heading3"/>
      </w:pPr>
      <w:r>
        <w:t xml:space="preserve">“The CA asks something you don’t know”</w:t>
      </w:r>
    </w:p>
    <w:p>
      <w:pPr>
        <w:pStyle w:val="FirstParagraph"/>
      </w:pPr>
      <w:r>
        <w:rPr>
          <w:b/>
          <w:bCs/>
        </w:rPr>
        <w:t xml:space="preserve">Don’t make it up.</w:t>
      </w:r>
      <w:r>
        <w:t xml:space="preserve"> </w:t>
      </w:r>
      <w:r>
        <w:t xml:space="preserve">Say: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“Honest answer: I don’t know. Let me get back to you tomorrow.”</w:t>
      </w:r>
      <w:r>
        <w:t xml:space="preserve"> </w:t>
      </w:r>
      <w:r>
        <w:t xml:space="preserve">Write it in your notes. CAs respect</w:t>
      </w:r>
      <w:r>
        <w:t xml:space="preserve"> </w:t>
      </w:r>
      <w:r>
        <w:t xml:space="preserve">“I don’t know”</w:t>
      </w:r>
      <w:r>
        <w:t xml:space="preserve"> </w:t>
      </w:r>
      <w:r>
        <w:t xml:space="preserve">infinitely more than a confident wrong answer.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Xba241a21b73b19cb8f982adf861915748893e95"/>
    <w:p>
      <w:pPr>
        <w:pStyle w:val="Heading2"/>
      </w:pPr>
      <w:r>
        <w:t xml:space="preserve">Appendix D · The 60-second elevator version</w:t>
      </w:r>
    </w:p>
    <w:p>
      <w:pPr>
        <w:pStyle w:val="FirstParagraph"/>
      </w:pPr>
      <w:r>
        <w:t xml:space="preserve">If they only have 1 minute:</w:t>
      </w:r>
    </w:p>
    <w:p>
      <w:pPr>
        <w:pStyle w:val="BlockText"/>
      </w:pPr>
      <w:r>
        <w:rPr>
          <w:i/>
          <w:iCs/>
        </w:rPr>
        <w:t xml:space="preserve">“Three things AIQL does.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One:</w:t>
      </w:r>
      <w:r>
        <w:rPr>
          <w:i/>
          <w:iCs/>
        </w:rPr>
        <w:t xml:space="preserve"> </w:t>
      </w:r>
      <w:r>
        <w:rPr>
          <w:i/>
          <w:iCs/>
        </w:rPr>
        <w:t xml:space="preserve">automates the repetitive 70% of monthly close — voucher checks, recons, anomaly detection.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Two:</w:t>
      </w:r>
      <w:r>
        <w:rPr>
          <w:i/>
          <w:iCs/>
        </w:rPr>
        <w:t xml:space="preserve"> </w:t>
      </w:r>
      <w:r>
        <w:rPr>
          <w:i/>
          <w:iCs/>
        </w:rPr>
        <w:t xml:space="preserve">remembers your judgment from one month to the next, so the second close is faster than the first.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Three:</w:t>
      </w:r>
      <w:r>
        <w:rPr>
          <w:i/>
          <w:iCs/>
        </w:rPr>
        <w:t xml:space="preserve"> </w:t>
      </w:r>
      <w:r>
        <w:rPr>
          <w:i/>
          <w:iCs/>
        </w:rPr>
        <w:t xml:space="preserve">lets you use ChatGPT or any LLM with client data, because the system masks vendor names and amounts before they ever leave the box.”</w:t>
      </w:r>
    </w:p>
    <w:p>
      <w:pPr>
        <w:pStyle w:val="BlockText"/>
      </w:pPr>
      <w:r>
        <w:rPr>
          <w:i/>
          <w:iCs/>
        </w:rPr>
        <w:t xml:space="preserve">“You bring your own LLM key. Your data stays yours. Your CA wisdom compounds month over month. ₹3,000-₹5,000 per firm per month for the privacy layer; ₹500/seat for the close engine. Half-price for design partners over the next 60 days. Want a longer demo?”</w:t>
      </w:r>
    </w:p>
    <w:p>
      <w:r>
        <w:pict>
          <v:rect style="width:0;height:1.5pt" o:hralign="center" o:hrstd="t" o:hr="t"/>
        </w:pict>
      </w:r>
    </w:p>
    <w:bookmarkEnd w:id="56"/>
    <w:bookmarkStart w:id="57" w:name="final-reminder"/>
    <w:p>
      <w:pPr>
        <w:pStyle w:val="Heading2"/>
      </w:pPr>
      <w:r>
        <w:t xml:space="preserve">Final reminder</w:t>
      </w:r>
    </w:p>
    <w:p>
      <w:pPr>
        <w:pStyle w:val="FirstParagraph"/>
      </w:pPr>
      <w:r>
        <w:t xml:space="preserve">The CAs will probably say one of: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“Looks impressive but I’d need to see it on real data.”</w:t>
      </w:r>
      <w:r>
        <w:t xml:space="preserve"> </w:t>
      </w:r>
      <w:r>
        <w:t xml:space="preserve">→</w:t>
      </w:r>
      <w:r>
        <w:t xml:space="preserve"> </w:t>
      </w:r>
      <w:r>
        <w:t xml:space="preserve">“Let’s do a 60-day pilot. Bring your own client data.”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“Tally sync is the dealbreaker.”</w:t>
      </w:r>
      <w:r>
        <w:t xml:space="preserve"> </w:t>
      </w:r>
      <w:r>
        <w:t xml:space="preserve">→</w:t>
      </w:r>
      <w:r>
        <w:t xml:space="preserve"> </w:t>
      </w:r>
      <w:r>
        <w:t xml:space="preserve">“Two weeks if you’re a paying customer. Want to be first?”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“How is this different from [Tally Edge / Zoho Analytics / X]?”</w:t>
      </w:r>
      <w:r>
        <w:t xml:space="preserve"> </w:t>
      </w:r>
      <w:r>
        <w:t xml:space="preserve">→</w:t>
      </w:r>
      <w:r>
        <w:t xml:space="preserve"> </w:t>
      </w:r>
      <w:r>
        <w:t xml:space="preserve">“Those are reporting. We’re closure-time judgment + privacy. Different problem.”</w:t>
      </w:r>
    </w:p>
    <w:p>
      <w:pPr>
        <w:pStyle w:val="BodyText"/>
      </w:pPr>
      <w:r>
        <w:t xml:space="preserve">If they say</w:t>
      </w:r>
      <w:r>
        <w:t xml:space="preserve"> </w:t>
      </w:r>
      <w:r>
        <w:t xml:space="preserve">“let me think about it”</w:t>
      </w:r>
      <w:r>
        <w:t xml:space="preserve"> </w:t>
      </w:r>
      <w:r>
        <w:t xml:space="preserve">— that’s a no.</w:t>
      </w:r>
      <w:r>
        <w:t xml:space="preserve"> </w:t>
      </w:r>
      <w:r>
        <w:rPr>
          <w:b/>
          <w:bCs/>
        </w:rPr>
        <w:t xml:space="preserve">Push for a yes/no on a pilot, or a no.</w:t>
      </w:r>
      <w:r>
        <w:t xml:space="preserve"> </w:t>
      </w:r>
      <w:r>
        <w:t xml:space="preserve">Maybes waste both your time.</w:t>
      </w:r>
    </w:p>
    <w:p>
      <w:pPr>
        <w:pStyle w:val="BodyText"/>
      </w:pPr>
      <w:r>
        <w:t xml:space="preserve">Good luck Tuesday.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2026-05-09T18:24:49Z</dcterms:created>
  <dcterms:modified xsi:type="dcterms:W3CDTF">2026-05-09T18:24:49Z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