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5F" w:rsidRDefault="007C065F">
      <w:pPr>
        <w:pStyle w:val="BodyText"/>
        <w:spacing w:before="2" w:line="240" w:lineRule="auto"/>
        <w:ind w:left="0" w:firstLine="0"/>
        <w:rPr>
          <w:rFonts w:ascii="Times New Roman"/>
          <w:sz w:val="23"/>
        </w:rPr>
      </w:pPr>
    </w:p>
    <w:p w:rsidR="007C065F" w:rsidRDefault="00090E25">
      <w:pPr>
        <w:spacing w:before="54" w:line="322" w:lineRule="exact"/>
        <w:ind w:left="2279"/>
        <w:rPr>
          <w:b/>
          <w:sz w:val="28"/>
        </w:rPr>
      </w:pPr>
      <w:bookmarkStart w:id="0" w:name="_GoBack"/>
      <w:r>
        <w:rPr>
          <w:b/>
          <w:sz w:val="28"/>
        </w:rPr>
        <w:t>WT</w:t>
      </w:r>
      <w:r w:rsidR="00CD1F01">
        <w:rPr>
          <w:b/>
          <w:sz w:val="28"/>
        </w:rPr>
        <w:t>-SFP-1310</w:t>
      </w:r>
    </w:p>
    <w:bookmarkEnd w:id="0"/>
    <w:p w:rsidR="007C065F" w:rsidRDefault="00CD1F01">
      <w:pPr>
        <w:pStyle w:val="ListParagraph"/>
        <w:numPr>
          <w:ilvl w:val="1"/>
          <w:numId w:val="1"/>
        </w:numPr>
        <w:tabs>
          <w:tab w:val="left" w:pos="669"/>
        </w:tabs>
        <w:spacing w:line="240" w:lineRule="auto"/>
        <w:rPr>
          <w:sz w:val="28"/>
        </w:rPr>
      </w:pPr>
      <w:proofErr w:type="spellStart"/>
      <w:r>
        <w:rPr>
          <w:sz w:val="28"/>
        </w:rPr>
        <w:t>Gbps</w:t>
      </w:r>
      <w:proofErr w:type="spellEnd"/>
      <w:r>
        <w:rPr>
          <w:sz w:val="28"/>
        </w:rPr>
        <w:t xml:space="preserve"> SFP Optical Transceiver, 10km Reach</w:t>
      </w:r>
    </w:p>
    <w:p w:rsidR="007C065F" w:rsidRDefault="007C065F">
      <w:pPr>
        <w:pStyle w:val="BodyText"/>
        <w:spacing w:before="10" w:line="240" w:lineRule="auto"/>
        <w:ind w:left="0" w:firstLine="0"/>
        <w:rPr>
          <w:sz w:val="23"/>
        </w:rPr>
      </w:pPr>
    </w:p>
    <w:p w:rsidR="007C065F" w:rsidRDefault="00CD1F01">
      <w:pPr>
        <w:pStyle w:val="Heading1"/>
      </w:pPr>
      <w:r>
        <w:rPr>
          <w:color w:val="9A3200"/>
        </w:rPr>
        <w:t>Features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62" w:lineRule="exact"/>
        <w:ind w:left="840" w:hanging="361"/>
        <w:rPr>
          <w:rFonts w:ascii="MS UI Gothic" w:hAnsi="MS UI Gothic"/>
        </w:rPr>
      </w:pPr>
      <w:r>
        <w:t>Dual data-rate of 1.25Gbps/1.063Gbps</w:t>
      </w:r>
      <w:r>
        <w:rPr>
          <w:spacing w:val="-3"/>
        </w:rPr>
        <w:t xml:space="preserve"> </w:t>
      </w:r>
      <w:r>
        <w:t>operation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 xml:space="preserve">1310nm FP laser and PIN </w:t>
      </w:r>
      <w:proofErr w:type="spellStart"/>
      <w:r>
        <w:t>photodetector</w:t>
      </w:r>
      <w:proofErr w:type="spellEnd"/>
      <w:r>
        <w:t xml:space="preserve"> for 20km</w:t>
      </w:r>
      <w:r>
        <w:rPr>
          <w:spacing w:val="-5"/>
        </w:rPr>
        <w:t xml:space="preserve"> </w:t>
      </w:r>
      <w:r>
        <w:t>transmission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Compliant with SFP MSA and SFF-8472 with duplex LC</w:t>
      </w:r>
      <w:r>
        <w:rPr>
          <w:spacing w:val="-5"/>
        </w:rPr>
        <w:t xml:space="preserve"> </w:t>
      </w:r>
      <w:r>
        <w:t>receptacle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Digital Diagnostic Monitoring:</w:t>
      </w:r>
    </w:p>
    <w:p w:rsidR="007C065F" w:rsidRDefault="00ED3865">
      <w:pPr>
        <w:pStyle w:val="ListParagraph"/>
        <w:numPr>
          <w:ilvl w:val="2"/>
          <w:numId w:val="1"/>
        </w:numPr>
        <w:tabs>
          <w:tab w:val="left" w:pos="840"/>
        </w:tabs>
        <w:spacing w:line="252" w:lineRule="exact"/>
        <w:ind w:left="840" w:hanging="361"/>
        <w:rPr>
          <w:rFonts w:ascii="MS UI Gothic" w:hAnsi="MS UI Gothic"/>
        </w:rPr>
      </w:pPr>
      <w:r>
        <w:pict>
          <v:group id="_x0000_s1026" style="position:absolute;left:0;text-align:left;margin-left:369.25pt;margin-top:10.6pt;width:167.3pt;height:123.15pt;z-index:251658240;mso-position-horizontal-relative:page" coordorigin="7385,212" coordsize="3346,24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497;top:221;width:3120;height:2444">
              <v:imagedata r:id="rId7" o:title=""/>
            </v:shape>
            <v:shape id="_x0000_s1031" style="position:absolute;left:7389;top:212;width:3332;height:2453" coordorigin="7390,212" coordsize="3332,2453" o:spt="100" adj="0,,0" path="m7394,217r3327,m7390,212r,2453e" filled="f" strokeweight=".16917mm">
              <v:stroke joinstyle="round"/>
              <v:formulas/>
              <v:path arrowok="t" o:connecttype="segments"/>
            </v:shape>
            <v:rect id="_x0000_s1030" style="position:absolute;left:7384;top:2665;width:10;height:10" fillcolor="black" stroked="f"/>
            <v:line id="_x0000_s1029" style="position:absolute" from="7394,2670" to="10721,2670" strokeweight=".16917mm"/>
            <v:line id="_x0000_s1028" style="position:absolute" from="10726,212" to="10726,2665" strokeweight=".16917mm"/>
            <v:rect id="_x0000_s1027" style="position:absolute;left:10720;top:2665;width:10;height:10" fillcolor="black" stroked="f"/>
            <w10:wrap anchorx="page"/>
          </v:group>
        </w:pict>
      </w:r>
      <w:r w:rsidR="00CD1F01">
        <w:t>Internal Calibration or External</w:t>
      </w:r>
      <w:r w:rsidR="00CD1F01">
        <w:rPr>
          <w:spacing w:val="2"/>
        </w:rPr>
        <w:t xml:space="preserve"> </w:t>
      </w:r>
      <w:r w:rsidR="00CD1F01">
        <w:t>Calibration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Compatible with SONET</w:t>
      </w:r>
      <w:r>
        <w:rPr>
          <w:spacing w:val="2"/>
        </w:rPr>
        <w:t xml:space="preserve"> </w:t>
      </w:r>
      <w:r>
        <w:t>OC-24-LR-1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Compatible with</w:t>
      </w:r>
      <w:r>
        <w:rPr>
          <w:spacing w:val="1"/>
        </w:rPr>
        <w:t xml:space="preserve"> </w:t>
      </w:r>
      <w:proofErr w:type="spellStart"/>
      <w:r>
        <w:t>RoHS</w:t>
      </w:r>
      <w:proofErr w:type="spellEnd"/>
    </w:p>
    <w:p w:rsidR="007C065F" w:rsidRDefault="00CD1F01">
      <w:pPr>
        <w:pStyle w:val="BodyText"/>
        <w:ind w:left="479" w:firstLine="0"/>
      </w:pPr>
      <w:r>
        <w:rPr>
          <w:rFonts w:ascii="MS UI Gothic" w:hAnsi="MS UI Gothic"/>
        </w:rPr>
        <w:t xml:space="preserve">➢ </w:t>
      </w:r>
      <w:r>
        <w:t>+3.3V single power supply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Operating case</w:t>
      </w:r>
      <w:r>
        <w:rPr>
          <w:spacing w:val="-2"/>
        </w:rPr>
        <w:t xml:space="preserve"> </w:t>
      </w:r>
      <w:r>
        <w:t>temperature: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52" w:lineRule="exact"/>
        <w:ind w:left="840" w:hanging="361"/>
        <w:rPr>
          <w:rFonts w:ascii="MS UI Gothic" w:hAnsi="MS UI Gothic"/>
        </w:rPr>
      </w:pPr>
      <w:r>
        <w:t>Standard : 0 to</w:t>
      </w:r>
      <w:r>
        <w:rPr>
          <w:spacing w:val="-5"/>
        </w:rPr>
        <w:t xml:space="preserve"> </w:t>
      </w:r>
      <w:r>
        <w:rPr>
          <w:spacing w:val="-10"/>
        </w:rPr>
        <w:t>+70°C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67" w:lineRule="exact"/>
        <w:ind w:left="840" w:hanging="361"/>
        <w:rPr>
          <w:rFonts w:ascii="MS UI Gothic" w:hAnsi="MS UI Gothic"/>
        </w:rPr>
      </w:pPr>
      <w:r>
        <w:t>Industrial : -40 to</w:t>
      </w:r>
      <w:r>
        <w:rPr>
          <w:spacing w:val="-3"/>
        </w:rPr>
        <w:t xml:space="preserve"> </w:t>
      </w:r>
      <w:r>
        <w:rPr>
          <w:spacing w:val="-10"/>
        </w:rPr>
        <w:t>+85°C</w:t>
      </w:r>
    </w:p>
    <w:p w:rsidR="007C065F" w:rsidRDefault="007C065F">
      <w:pPr>
        <w:pStyle w:val="BodyText"/>
        <w:spacing w:before="8" w:line="240" w:lineRule="auto"/>
        <w:ind w:left="0" w:firstLine="0"/>
      </w:pPr>
    </w:p>
    <w:p w:rsidR="007C065F" w:rsidRDefault="00CD1F01">
      <w:pPr>
        <w:pStyle w:val="Heading1"/>
      </w:pPr>
      <w:r>
        <w:rPr>
          <w:color w:val="9A3200"/>
        </w:rPr>
        <w:t>Applications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61" w:lineRule="exact"/>
        <w:ind w:left="840" w:hanging="361"/>
        <w:rPr>
          <w:rFonts w:ascii="MS UI Gothic" w:hAnsi="MS UI Gothic"/>
        </w:rPr>
      </w:pPr>
      <w:r>
        <w:t>Gigabit</w:t>
      </w:r>
      <w:r>
        <w:rPr>
          <w:spacing w:val="1"/>
        </w:rPr>
        <w:t xml:space="preserve"> </w:t>
      </w:r>
      <w:r>
        <w:t>Ethernet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Fiber</w:t>
      </w:r>
      <w:r>
        <w:rPr>
          <w:spacing w:val="1"/>
        </w:rPr>
        <w:t xml:space="preserve"> </w:t>
      </w:r>
      <w:r>
        <w:t>Channel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Switch to Switch</w:t>
      </w:r>
      <w:r>
        <w:rPr>
          <w:spacing w:val="-1"/>
        </w:rPr>
        <w:t xml:space="preserve"> </w:t>
      </w:r>
      <w:r>
        <w:t>interface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52" w:lineRule="exact"/>
        <w:ind w:left="840" w:hanging="361"/>
        <w:rPr>
          <w:rFonts w:ascii="MS UI Gothic" w:hAnsi="MS UI Gothic"/>
        </w:rPr>
      </w:pPr>
      <w:r>
        <w:t>Switched backplane</w:t>
      </w:r>
      <w:r>
        <w:rPr>
          <w:spacing w:val="1"/>
        </w:rPr>
        <w:t xml:space="preserve"> </w:t>
      </w:r>
      <w:r>
        <w:t>applications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ind w:left="840" w:hanging="361"/>
        <w:rPr>
          <w:rFonts w:ascii="MS UI Gothic" w:hAnsi="MS UI Gothic"/>
        </w:rPr>
      </w:pPr>
      <w:r>
        <w:t>Router/Server</w:t>
      </w:r>
      <w:r>
        <w:rPr>
          <w:spacing w:val="1"/>
        </w:rPr>
        <w:t xml:space="preserve"> </w:t>
      </w:r>
      <w:r>
        <w:t>interface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68" w:lineRule="exact"/>
        <w:ind w:left="840" w:hanging="361"/>
        <w:rPr>
          <w:rFonts w:ascii="MS UI Gothic" w:hAnsi="MS UI Gothic"/>
        </w:rPr>
      </w:pPr>
      <w:r>
        <w:t>Other optical transmission</w:t>
      </w:r>
      <w:r>
        <w:rPr>
          <w:spacing w:val="2"/>
        </w:rPr>
        <w:t xml:space="preserve"> </w:t>
      </w:r>
      <w:r>
        <w:t>systems</w:t>
      </w:r>
    </w:p>
    <w:p w:rsidR="007C065F" w:rsidRDefault="007C065F">
      <w:pPr>
        <w:pStyle w:val="BodyText"/>
        <w:spacing w:before="4" w:line="240" w:lineRule="auto"/>
        <w:ind w:left="0" w:firstLine="0"/>
      </w:pPr>
    </w:p>
    <w:p w:rsidR="007C065F" w:rsidRDefault="00CD1F01">
      <w:pPr>
        <w:pStyle w:val="Heading1"/>
        <w:spacing w:before="1"/>
      </w:pPr>
      <w:r>
        <w:rPr>
          <w:color w:val="9A3200"/>
        </w:rPr>
        <w:t>Description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32" w:lineRule="auto"/>
        <w:ind w:right="117"/>
        <w:jc w:val="both"/>
        <w:rPr>
          <w:rFonts w:ascii="MS UI Gothic" w:hAnsi="MS UI Gothic"/>
        </w:rPr>
      </w:pPr>
      <w:r>
        <w:t>The SFP transceivers are high performance, cost effective modules supporting dual data-rate of 1.25Gbps/1.0625Gbps and 20km transmission distance with SMF.</w:t>
      </w: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32" w:lineRule="auto"/>
        <w:ind w:right="114"/>
        <w:jc w:val="both"/>
        <w:rPr>
          <w:rFonts w:ascii="MS UI Gothic" w:hAnsi="MS UI Gothic"/>
        </w:rPr>
      </w:pPr>
      <w:r>
        <w:t xml:space="preserve">The transceiver consists of three sections: a FP laser transmitter, a PIN </w:t>
      </w:r>
      <w:proofErr w:type="gramStart"/>
      <w:r>
        <w:t>photodiode</w:t>
      </w:r>
      <w:proofErr w:type="gramEnd"/>
      <w:r>
        <w:t xml:space="preserve"> integrated with a trans-impedance preamplifier (TIA) and MCU control unit. All modules satisfy class I laser safety</w:t>
      </w:r>
      <w:r>
        <w:rPr>
          <w:spacing w:val="-6"/>
        </w:rPr>
        <w:t xml:space="preserve"> </w:t>
      </w:r>
      <w:r>
        <w:t>requirements.</w:t>
      </w:r>
    </w:p>
    <w:p w:rsidR="007C065F" w:rsidRDefault="007C065F">
      <w:pPr>
        <w:pStyle w:val="BodyText"/>
        <w:spacing w:before="4" w:line="240" w:lineRule="auto"/>
        <w:ind w:left="0" w:firstLine="0"/>
        <w:rPr>
          <w:sz w:val="21"/>
        </w:rPr>
      </w:pPr>
    </w:p>
    <w:p w:rsidR="007C065F" w:rsidRDefault="00CD1F01">
      <w:pPr>
        <w:pStyle w:val="ListParagraph"/>
        <w:numPr>
          <w:ilvl w:val="2"/>
          <w:numId w:val="1"/>
        </w:numPr>
        <w:tabs>
          <w:tab w:val="left" w:pos="840"/>
        </w:tabs>
        <w:spacing w:line="220" w:lineRule="auto"/>
        <w:ind w:right="115"/>
        <w:jc w:val="both"/>
        <w:rPr>
          <w:rFonts w:ascii="MS UI Gothic" w:hAnsi="MS UI Gothic"/>
          <w:sz w:val="24"/>
        </w:rPr>
      </w:pPr>
      <w:r>
        <w:t>The transceivers are compatible with SFP Multi-Source Agreement (MSA) and SFF-8472.</w:t>
      </w:r>
    </w:p>
    <w:p w:rsidR="007C065F" w:rsidRDefault="007C065F">
      <w:pPr>
        <w:spacing w:line="220" w:lineRule="auto"/>
        <w:jc w:val="both"/>
        <w:rPr>
          <w:rFonts w:ascii="MS UI Gothic" w:hAnsi="MS UI Gothic"/>
          <w:sz w:val="24"/>
        </w:rPr>
        <w:sectPr w:rsidR="007C06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060" w:right="1680" w:bottom="2180" w:left="1680" w:header="720" w:footer="2000" w:gutter="0"/>
          <w:cols w:space="720"/>
        </w:sectPr>
      </w:pPr>
    </w:p>
    <w:p w:rsidR="007C065F" w:rsidRDefault="007C065F">
      <w:pPr>
        <w:pStyle w:val="BodyText"/>
        <w:spacing w:before="5" w:line="240" w:lineRule="auto"/>
        <w:ind w:left="0" w:firstLine="0"/>
        <w:rPr>
          <w:rFonts w:ascii="Times New Roman"/>
          <w:sz w:val="8"/>
        </w:rPr>
      </w:pPr>
    </w:p>
    <w:p w:rsidR="007C065F" w:rsidRDefault="00CD1F01">
      <w:pPr>
        <w:pStyle w:val="BodyText"/>
        <w:spacing w:line="240" w:lineRule="auto"/>
        <w:ind w:left="18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5356831" cy="366045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31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5F">
      <w:pgSz w:w="12240" w:h="15840"/>
      <w:pgMar w:top="2060" w:right="1680" w:bottom="2180" w:left="1680" w:header="720" w:footer="2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865" w:rsidRDefault="00ED3865">
      <w:r>
        <w:separator/>
      </w:r>
    </w:p>
  </w:endnote>
  <w:endnote w:type="continuationSeparator" w:id="0">
    <w:p w:rsidR="00ED3865" w:rsidRDefault="00ED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73C" w:rsidRDefault="00B247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65F" w:rsidRDefault="00ED3865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0.05pt;margin-top:681.75pt;width:351.7pt;height:67.25pt;z-index:-251658752;mso-position-horizontal-relative:page;mso-position-vertical-relative:page" filled="f" stroked="f">
          <v:textbox inset="0,0,0,0">
            <w:txbxContent>
              <w:p w:rsidR="00B2473C" w:rsidRPr="00B2473C" w:rsidRDefault="00B2473C" w:rsidP="00B2473C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</w:pPr>
                <w:proofErr w:type="spellStart"/>
                <w:r w:rsidRPr="00B2473C">
                  <w:rPr>
                    <w:rFonts w:ascii="Algerian" w:eastAsia="Calibri" w:hAnsi="Algerian" w:cs="Times New Roman"/>
                    <w:b/>
                    <w:sz w:val="20"/>
                    <w:szCs w:val="20"/>
                    <w:lang w:bidi="ar-SA"/>
                  </w:rPr>
                  <w:t>Welltech</w:t>
                </w:r>
                <w:proofErr w:type="spellEnd"/>
                <w:r w:rsidRPr="00B2473C">
                  <w:rPr>
                    <w:rFonts w:ascii="Algerian" w:eastAsia="Calibri" w:hAnsi="Algerian" w:cs="Times New Roman"/>
                    <w:b/>
                    <w:sz w:val="20"/>
                    <w:szCs w:val="20"/>
                    <w:lang w:bidi="ar-SA"/>
                  </w:rPr>
                  <w:t xml:space="preserve"> Enterprises</w:t>
                </w:r>
              </w:p>
              <w:p w:rsidR="00B2473C" w:rsidRPr="00B2473C" w:rsidRDefault="00B2473C" w:rsidP="00B2473C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</w:pPr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>415 Ground Floor</w:t>
                </w:r>
                <w:proofErr w:type="gramStart"/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>,  PRAKASH</w:t>
                </w:r>
                <w:proofErr w:type="gramEnd"/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 xml:space="preserve"> MOHALLA, GARHI , EAST OF KAILASH</w:t>
                </w:r>
              </w:p>
              <w:p w:rsidR="00B2473C" w:rsidRPr="00B2473C" w:rsidRDefault="00B2473C" w:rsidP="00B2473C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</w:pPr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>NEW DELHI 110065</w:t>
                </w:r>
              </w:p>
              <w:p w:rsidR="00B2473C" w:rsidRPr="00B2473C" w:rsidRDefault="00B2473C" w:rsidP="00B2473C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</w:pPr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 xml:space="preserve">Phone </w:t>
                </w:r>
                <w:r w:rsidRPr="00B2473C">
                  <w:rPr>
                    <w:rFonts w:asciiTheme="minorHAnsi" w:eastAsiaTheme="minorHAnsi" w:hAnsiTheme="minorHAnsi" w:cstheme="minorBidi"/>
                    <w:sz w:val="20"/>
                    <w:szCs w:val="20"/>
                    <w:lang w:bidi="ar-SA"/>
                  </w:rPr>
                  <w:t xml:space="preserve">+91 9871650366     </w:t>
                </w:r>
                <w:proofErr w:type="gramStart"/>
                <w:r w:rsidRPr="00B2473C">
                  <w:rPr>
                    <w:rFonts w:asciiTheme="minorHAnsi" w:eastAsiaTheme="minorHAnsi" w:hAnsiTheme="minorHAnsi" w:cstheme="minorBidi"/>
                    <w:sz w:val="20"/>
                    <w:szCs w:val="20"/>
                    <w:lang w:bidi="ar-SA"/>
                  </w:rPr>
                  <w:t>Email :</w:t>
                </w:r>
                <w:proofErr w:type="gramEnd"/>
                <w:r w:rsidRPr="00B2473C">
                  <w:rPr>
                    <w:rFonts w:asciiTheme="minorHAnsi" w:eastAsiaTheme="minorHAnsi" w:hAnsiTheme="minorHAnsi" w:cstheme="minorBidi"/>
                    <w:sz w:val="20"/>
                    <w:szCs w:val="20"/>
                    <w:lang w:bidi="ar-SA"/>
                  </w:rPr>
                  <w:t xml:space="preserve"> sales</w:t>
                </w:r>
                <w:r w:rsidRPr="00B2473C">
                  <w:rPr>
                    <w:rFonts w:ascii="Calibri" w:eastAsia="Calibri" w:hAnsi="Calibri" w:cs="Times New Roman"/>
                    <w:sz w:val="20"/>
                    <w:szCs w:val="20"/>
                    <w:lang w:bidi="ar-SA"/>
                  </w:rPr>
                  <w:t>@welltechenterprises.in</w:t>
                </w:r>
              </w:p>
              <w:p w:rsidR="00B2473C" w:rsidRPr="00B2473C" w:rsidRDefault="00B2473C" w:rsidP="00B2473C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rPr>
                    <w:rFonts w:asciiTheme="minorHAnsi" w:eastAsiaTheme="minorHAnsi" w:hAnsiTheme="minorHAnsi" w:cstheme="minorBidi"/>
                    <w:sz w:val="20"/>
                    <w:szCs w:val="20"/>
                    <w:lang w:bidi="ar-SA"/>
                  </w:rPr>
                </w:pPr>
              </w:p>
              <w:p w:rsidR="007C065F" w:rsidRDefault="007C065F">
                <w:pPr>
                  <w:spacing w:before="38"/>
                  <w:ind w:left="20" w:right="18"/>
                  <w:jc w:val="center"/>
                  <w:rPr>
                    <w:rFonts w:ascii="Franklin Gothic Medium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73C" w:rsidRDefault="00B24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865" w:rsidRDefault="00ED3865">
      <w:r>
        <w:separator/>
      </w:r>
    </w:p>
  </w:footnote>
  <w:footnote w:type="continuationSeparator" w:id="0">
    <w:p w:rsidR="00ED3865" w:rsidRDefault="00ED38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73C" w:rsidRDefault="00B247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65F" w:rsidRDefault="00B2473C" w:rsidP="00B2473C">
    <w:pPr>
      <w:pStyle w:val="BodyText"/>
      <w:spacing w:line="14" w:lineRule="auto"/>
      <w:ind w:left="0" w:firstLine="0"/>
      <w:jc w:val="right"/>
      <w:rPr>
        <w:sz w:val="20"/>
      </w:rPr>
    </w:pPr>
    <w:r w:rsidRPr="004E66D8">
      <w:rPr>
        <w:noProof/>
        <w:lang w:val="en-IN" w:eastAsia="en-IN" w:bidi="ar-SA"/>
      </w:rPr>
      <w:drawing>
        <wp:inline distT="0" distB="0" distL="0" distR="0" wp14:anchorId="57D1DCCF" wp14:editId="2910CB6A">
          <wp:extent cx="2857899" cy="647790"/>
          <wp:effectExtent l="19050" t="0" r="0" b="0"/>
          <wp:docPr id="2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73C" w:rsidRDefault="00B247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45CC9"/>
    <w:multiLevelType w:val="multilevel"/>
    <w:tmpl w:val="66EE25AA"/>
    <w:lvl w:ilvl="0">
      <w:start w:val="1"/>
      <w:numFmt w:val="decimal"/>
      <w:lvlText w:val="%1"/>
      <w:lvlJc w:val="left"/>
      <w:pPr>
        <w:ind w:left="668" w:hanging="549"/>
        <w:jc w:val="left"/>
      </w:pPr>
      <w:rPr>
        <w:rFonts w:hint="default"/>
        <w:lang w:val="en-US" w:eastAsia="en-US" w:bidi="en-US"/>
      </w:rPr>
    </w:lvl>
    <w:lvl w:ilvl="1">
      <w:start w:val="25"/>
      <w:numFmt w:val="decimal"/>
      <w:lvlText w:val="%1.%2"/>
      <w:lvlJc w:val="left"/>
      <w:pPr>
        <w:ind w:left="668" w:hanging="549"/>
        <w:jc w:val="left"/>
      </w:pPr>
      <w:rPr>
        <w:rFonts w:ascii="Arial" w:eastAsia="Arial" w:hAnsi="Arial" w:cs="Arial" w:hint="default"/>
        <w:w w:val="100"/>
        <w:sz w:val="26"/>
        <w:szCs w:val="26"/>
        <w:lang w:val="en-US" w:eastAsia="en-US" w:bidi="en-US"/>
      </w:rPr>
    </w:lvl>
    <w:lvl w:ilvl="2">
      <w:numFmt w:val="bullet"/>
      <w:lvlText w:val="➢"/>
      <w:lvlJc w:val="left"/>
      <w:pPr>
        <w:ind w:left="839" w:hanging="360"/>
      </w:pPr>
      <w:rPr>
        <w:rFonts w:hint="default"/>
        <w:w w:val="79"/>
        <w:lang w:val="en-US" w:eastAsia="en-US" w:bidi="en-US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065F"/>
    <w:rsid w:val="00090E25"/>
    <w:rsid w:val="007C065F"/>
    <w:rsid w:val="00B2473C"/>
    <w:rsid w:val="00CD1F01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0045D23-9ECD-45AB-AE7D-BDB273F3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270" w:lineRule="exact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3" w:lineRule="exact"/>
      <w:ind w:left="840" w:hanging="361"/>
    </w:pPr>
  </w:style>
  <w:style w:type="paragraph" w:styleId="ListParagraph">
    <w:name w:val="List Paragraph"/>
    <w:basedOn w:val="Normal"/>
    <w:uiPriority w:val="1"/>
    <w:qFormat/>
    <w:pPr>
      <w:spacing w:line="253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47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73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247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73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AT-SFP-1310</dc:title>
  <dc:creator>Subhash</dc:creator>
  <cp:lastModifiedBy>Nitin</cp:lastModifiedBy>
  <cp:revision>4</cp:revision>
  <dcterms:created xsi:type="dcterms:W3CDTF">2020-08-15T11:16:00Z</dcterms:created>
  <dcterms:modified xsi:type="dcterms:W3CDTF">2020-08-16T14:12:00Z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2020-08-15T00:00:00Z</vt:filetime>
  </property>
</Properties>
</file>