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7A1D" w:rsidRDefault="008523E4">
      <w:pPr>
        <w:pStyle w:val="Heading1"/>
        <w:spacing w:line="322" w:lineRule="exact"/>
        <w:ind w:left="2999"/>
      </w:pPr>
      <w:bookmarkStart w:id="0" w:name="_GoBack"/>
      <w:r>
        <w:t>WT-SFP-E</w:t>
      </w:r>
    </w:p>
    <w:bookmarkEnd w:id="0"/>
    <w:p w:rsidR="00A67A1D" w:rsidRDefault="00A67A1D">
      <w:pPr>
        <w:pStyle w:val="BodyText"/>
        <w:spacing w:before="10"/>
        <w:ind w:firstLine="0"/>
        <w:rPr>
          <w:sz w:val="27"/>
        </w:rPr>
      </w:pPr>
    </w:p>
    <w:p w:rsidR="00A67A1D" w:rsidRDefault="009A5B86">
      <w:pPr>
        <w:ind w:left="119"/>
        <w:rPr>
          <w:sz w:val="28"/>
        </w:rPr>
      </w:pPr>
      <w:r>
        <w:pict>
          <v:group id="_x0000_s1026" style="position:absolute;left:0;text-align:left;margin-left:386.05pt;margin-top:17.8pt;width:152.9pt;height:105.5pt;z-index:15729152;mso-position-horizontal-relative:page" coordorigin="7721,356" coordsize="3058,21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7833;top:365;width:2832;height:2059">
              <v:imagedata r:id="rId7" o:title=""/>
            </v:shape>
            <v:shape id="_x0000_s1027" style="position:absolute;left:7720;top:356;width:3058;height:2110" coordorigin="7721,356" coordsize="3058,2110" o:spt="100" adj="0,,0" path="m7730,2456r-9,l7721,2466r9,l7730,2456xm7730,366r-9,l7721,2456r9,l7730,366xm7730,356r-9,l7721,366r9,l7730,356xm10778,2456r-9,l7730,2456r,10l10769,2466r9,l10778,2456xm10778,366r-9,l10769,2456r9,l10778,366xm10778,356r-9,l7730,356r,10l10769,366r9,l10778,356xe" fillcolor="black" stroked="f">
              <v:stroke joinstyle="round"/>
              <v:formulas/>
              <v:path arrowok="t" o:connecttype="segments"/>
            </v:shape>
            <w10:wrap anchorx="page"/>
          </v:group>
        </w:pict>
      </w:r>
      <w:r w:rsidR="00EB161F">
        <w:rPr>
          <w:sz w:val="28"/>
        </w:rPr>
        <w:t>Copper SFP Transceiver</w:t>
      </w:r>
    </w:p>
    <w:p w:rsidR="00A67A1D" w:rsidRDefault="00A67A1D">
      <w:pPr>
        <w:pStyle w:val="BodyText"/>
        <w:spacing w:before="11"/>
        <w:ind w:firstLine="0"/>
        <w:rPr>
          <w:sz w:val="23"/>
        </w:rPr>
      </w:pPr>
    </w:p>
    <w:p w:rsidR="00A67A1D" w:rsidRDefault="00EB161F">
      <w:pPr>
        <w:pStyle w:val="Heading2"/>
      </w:pPr>
      <w:r>
        <w:rPr>
          <w:color w:val="9A3200"/>
        </w:rPr>
        <w:t>Features</w:t>
      </w:r>
    </w:p>
    <w:p w:rsidR="00A67A1D" w:rsidRDefault="00EB161F">
      <w:pPr>
        <w:pStyle w:val="ListParagraph"/>
        <w:numPr>
          <w:ilvl w:val="0"/>
          <w:numId w:val="1"/>
        </w:numPr>
        <w:tabs>
          <w:tab w:val="left" w:pos="840"/>
        </w:tabs>
        <w:spacing w:line="262" w:lineRule="exact"/>
        <w:ind w:left="840" w:hanging="361"/>
      </w:pPr>
      <w:r>
        <w:t>Up to 1.25Gb/s bi-directional data</w:t>
      </w:r>
      <w:r>
        <w:rPr>
          <w:spacing w:val="1"/>
        </w:rPr>
        <w:t xml:space="preserve"> </w:t>
      </w:r>
      <w:r>
        <w:t>links</w:t>
      </w:r>
    </w:p>
    <w:p w:rsidR="00A67A1D" w:rsidRDefault="00EB161F">
      <w:pPr>
        <w:pStyle w:val="ListParagraph"/>
        <w:numPr>
          <w:ilvl w:val="0"/>
          <w:numId w:val="1"/>
        </w:numPr>
        <w:tabs>
          <w:tab w:val="left" w:pos="840"/>
        </w:tabs>
        <w:ind w:left="840" w:hanging="361"/>
      </w:pPr>
      <w:r>
        <w:t>Hot-pluggable SFP</w:t>
      </w:r>
      <w:r>
        <w:rPr>
          <w:spacing w:val="-2"/>
        </w:rPr>
        <w:t xml:space="preserve"> </w:t>
      </w:r>
      <w:r>
        <w:t>footprint</w:t>
      </w:r>
    </w:p>
    <w:p w:rsidR="00A67A1D" w:rsidRDefault="00EB161F">
      <w:pPr>
        <w:pStyle w:val="ListParagraph"/>
        <w:numPr>
          <w:ilvl w:val="0"/>
          <w:numId w:val="1"/>
        </w:numPr>
        <w:tabs>
          <w:tab w:val="left" w:pos="840"/>
        </w:tabs>
        <w:ind w:left="840" w:hanging="361"/>
      </w:pPr>
      <w:r>
        <w:t xml:space="preserve">Extended case temperature range </w:t>
      </w:r>
      <w:r>
        <w:rPr>
          <w:spacing w:val="-12"/>
        </w:rPr>
        <w:t xml:space="preserve">(0°C </w:t>
      </w:r>
      <w:r>
        <w:t xml:space="preserve">to </w:t>
      </w:r>
      <w:r>
        <w:rPr>
          <w:spacing w:val="-10"/>
        </w:rPr>
        <w:t>+70°C</w:t>
      </w:r>
      <w:r>
        <w:rPr>
          <w:spacing w:val="10"/>
        </w:rPr>
        <w:t xml:space="preserve"> </w:t>
      </w:r>
      <w:r>
        <w:t>)</w:t>
      </w:r>
    </w:p>
    <w:p w:rsidR="00A67A1D" w:rsidRDefault="00EB161F">
      <w:pPr>
        <w:pStyle w:val="ListParagraph"/>
        <w:numPr>
          <w:ilvl w:val="0"/>
          <w:numId w:val="1"/>
        </w:numPr>
        <w:tabs>
          <w:tab w:val="left" w:pos="840"/>
        </w:tabs>
        <w:ind w:left="840" w:hanging="361"/>
      </w:pPr>
      <w:r>
        <w:t>Fully metallic enclosure for low</w:t>
      </w:r>
      <w:r>
        <w:rPr>
          <w:spacing w:val="-5"/>
        </w:rPr>
        <w:t xml:space="preserve"> </w:t>
      </w:r>
      <w:r>
        <w:t>EMI</w:t>
      </w:r>
    </w:p>
    <w:p w:rsidR="00A67A1D" w:rsidRDefault="00EB161F">
      <w:pPr>
        <w:pStyle w:val="ListParagraph"/>
        <w:numPr>
          <w:ilvl w:val="0"/>
          <w:numId w:val="1"/>
        </w:numPr>
        <w:tabs>
          <w:tab w:val="left" w:pos="840"/>
        </w:tabs>
        <w:spacing w:line="252" w:lineRule="exact"/>
        <w:ind w:left="840" w:hanging="361"/>
      </w:pPr>
      <w:r>
        <w:t>Low power dissipation (1.05 W</w:t>
      </w:r>
      <w:r>
        <w:rPr>
          <w:spacing w:val="-1"/>
        </w:rPr>
        <w:t xml:space="preserve"> </w:t>
      </w:r>
      <w:r>
        <w:t>typical)</w:t>
      </w:r>
    </w:p>
    <w:p w:rsidR="00A67A1D" w:rsidRDefault="00EB161F">
      <w:pPr>
        <w:pStyle w:val="ListParagraph"/>
        <w:numPr>
          <w:ilvl w:val="0"/>
          <w:numId w:val="1"/>
        </w:numPr>
        <w:tabs>
          <w:tab w:val="left" w:pos="840"/>
        </w:tabs>
        <w:ind w:left="840" w:hanging="361"/>
      </w:pPr>
      <w:r>
        <w:t>Compact RJ-45 connector</w:t>
      </w:r>
      <w:r>
        <w:rPr>
          <w:spacing w:val="-1"/>
        </w:rPr>
        <w:t xml:space="preserve"> </w:t>
      </w:r>
      <w:r>
        <w:t>assembly</w:t>
      </w:r>
    </w:p>
    <w:p w:rsidR="00A67A1D" w:rsidRDefault="00EB161F">
      <w:pPr>
        <w:pStyle w:val="ListParagraph"/>
        <w:numPr>
          <w:ilvl w:val="0"/>
          <w:numId w:val="1"/>
        </w:numPr>
        <w:tabs>
          <w:tab w:val="left" w:pos="840"/>
        </w:tabs>
        <w:ind w:left="840" w:hanging="361"/>
      </w:pPr>
      <w:r>
        <w:t>Access to physical layer IC via 2-wire serial</w:t>
      </w:r>
      <w:r>
        <w:rPr>
          <w:spacing w:val="1"/>
        </w:rPr>
        <w:t xml:space="preserve"> </w:t>
      </w:r>
      <w:r>
        <w:t>bus</w:t>
      </w:r>
    </w:p>
    <w:p w:rsidR="00A67A1D" w:rsidRDefault="00EB161F">
      <w:pPr>
        <w:pStyle w:val="ListParagraph"/>
        <w:numPr>
          <w:ilvl w:val="0"/>
          <w:numId w:val="1"/>
        </w:numPr>
        <w:tabs>
          <w:tab w:val="left" w:pos="840"/>
        </w:tabs>
        <w:ind w:left="840" w:hanging="361"/>
      </w:pPr>
      <w:r>
        <w:t>1000 BASE-T operation in host systems with SERDES</w:t>
      </w:r>
      <w:r>
        <w:rPr>
          <w:spacing w:val="1"/>
        </w:rPr>
        <w:t xml:space="preserve"> </w:t>
      </w:r>
      <w:r>
        <w:t>interface</w:t>
      </w:r>
    </w:p>
    <w:p w:rsidR="00A67A1D" w:rsidRDefault="00EB161F">
      <w:pPr>
        <w:pStyle w:val="ListParagraph"/>
        <w:numPr>
          <w:ilvl w:val="0"/>
          <w:numId w:val="1"/>
        </w:numPr>
        <w:tabs>
          <w:tab w:val="left" w:pos="840"/>
        </w:tabs>
        <w:spacing w:line="268" w:lineRule="exact"/>
        <w:ind w:left="840" w:hanging="361"/>
      </w:pPr>
      <w:r>
        <w:t>10/100/1000Mbps compliant in host systems with SGMII</w:t>
      </w:r>
      <w:r>
        <w:rPr>
          <w:spacing w:val="1"/>
        </w:rPr>
        <w:t xml:space="preserve"> </w:t>
      </w:r>
      <w:r>
        <w:t>interface</w:t>
      </w:r>
    </w:p>
    <w:p w:rsidR="00A67A1D" w:rsidRDefault="00A67A1D">
      <w:pPr>
        <w:pStyle w:val="BodyText"/>
        <w:spacing w:before="4"/>
        <w:ind w:firstLine="0"/>
      </w:pPr>
    </w:p>
    <w:p w:rsidR="00A67A1D" w:rsidRDefault="00EB161F">
      <w:pPr>
        <w:pStyle w:val="Heading2"/>
        <w:spacing w:before="1" w:line="240" w:lineRule="auto"/>
      </w:pPr>
      <w:r>
        <w:rPr>
          <w:color w:val="9A3200"/>
        </w:rPr>
        <w:t>Applications</w:t>
      </w:r>
    </w:p>
    <w:p w:rsidR="00A67A1D" w:rsidRDefault="00A67A1D">
      <w:pPr>
        <w:pStyle w:val="BodyText"/>
        <w:spacing w:before="10"/>
        <w:ind w:firstLine="0"/>
        <w:rPr>
          <w:b/>
          <w:sz w:val="20"/>
        </w:rPr>
      </w:pPr>
    </w:p>
    <w:p w:rsidR="00A67A1D" w:rsidRDefault="00EB161F">
      <w:pPr>
        <w:pStyle w:val="ListParagraph"/>
        <w:numPr>
          <w:ilvl w:val="0"/>
          <w:numId w:val="1"/>
        </w:numPr>
        <w:tabs>
          <w:tab w:val="left" w:pos="840"/>
        </w:tabs>
        <w:spacing w:line="240" w:lineRule="auto"/>
        <w:ind w:left="840" w:hanging="361"/>
      </w:pPr>
      <w:r>
        <w:t>1.25 Gigabit Ethernet over Cat 5 cable</w:t>
      </w:r>
    </w:p>
    <w:p w:rsidR="00A67A1D" w:rsidRDefault="00A67A1D">
      <w:pPr>
        <w:pStyle w:val="BodyText"/>
        <w:spacing w:before="7"/>
        <w:ind w:firstLine="0"/>
      </w:pPr>
    </w:p>
    <w:p w:rsidR="00A67A1D" w:rsidRDefault="00EB161F">
      <w:pPr>
        <w:pStyle w:val="Heading2"/>
      </w:pPr>
      <w:r>
        <w:rPr>
          <w:color w:val="9A3200"/>
        </w:rPr>
        <w:t>Description</w:t>
      </w:r>
    </w:p>
    <w:p w:rsidR="00A67A1D" w:rsidRDefault="00EB161F">
      <w:pPr>
        <w:pStyle w:val="ListParagraph"/>
        <w:numPr>
          <w:ilvl w:val="0"/>
          <w:numId w:val="1"/>
        </w:numPr>
        <w:tabs>
          <w:tab w:val="left" w:pos="840"/>
        </w:tabs>
        <w:spacing w:line="237" w:lineRule="auto"/>
        <w:ind w:right="335"/>
        <w:jc w:val="both"/>
      </w:pPr>
      <w:r>
        <w:t>AT-SFP-T Copper Small Form Pluggable (SFP</w:t>
      </w:r>
      <w:proofErr w:type="gramStart"/>
      <w:r>
        <w:t>)transceivers</w:t>
      </w:r>
      <w:proofErr w:type="gramEnd"/>
      <w:r>
        <w:t xml:space="preserve"> is high performance, cost effective module compliant with the Gigabit Ethernet and 1000- BASE-T standards as specified in IEEE 802. 3-2002 and IEEE 802.3ab, which </w:t>
      </w:r>
      <w:proofErr w:type="spellStart"/>
      <w:r>
        <w:t>supp</w:t>
      </w:r>
      <w:proofErr w:type="spellEnd"/>
      <w:r>
        <w:t xml:space="preserve">- </w:t>
      </w:r>
      <w:proofErr w:type="spellStart"/>
      <w:r>
        <w:t>orting</w:t>
      </w:r>
      <w:proofErr w:type="spellEnd"/>
      <w:r>
        <w:t xml:space="preserve"> 1000Mbps data- rate up to 100 meters reach over unshielded twisted-pair category 5 cable. The module supports1000 Mbps full duplex data-links with 5- level Pulse Amplitude Modulation (PAM) signals. All four pairs in the cable are used with symbol rate at 250Mbps on each pair. The module provides standard serial ID information compliant with SFP MSA, which can be accessed with address of A0h via the 2wire serial CMOS EEPROM</w:t>
      </w:r>
      <w:r>
        <w:rPr>
          <w:spacing w:val="-4"/>
        </w:rPr>
        <w:t xml:space="preserve"> </w:t>
      </w:r>
      <w:r>
        <w:t>protocol.</w:t>
      </w:r>
    </w:p>
    <w:p w:rsidR="00A67A1D" w:rsidRDefault="00EB161F">
      <w:pPr>
        <w:pStyle w:val="ListParagraph"/>
        <w:numPr>
          <w:ilvl w:val="0"/>
          <w:numId w:val="1"/>
        </w:numPr>
        <w:tabs>
          <w:tab w:val="left" w:pos="840"/>
        </w:tabs>
        <w:spacing w:line="272" w:lineRule="exact"/>
        <w:ind w:hanging="361"/>
        <w:jc w:val="both"/>
      </w:pPr>
      <w:r>
        <w:t>The physical IC can also be accessed via 2wire serial bus at address</w:t>
      </w:r>
      <w:r>
        <w:rPr>
          <w:spacing w:val="-8"/>
        </w:rPr>
        <w:t xml:space="preserve"> </w:t>
      </w:r>
      <w:r>
        <w:t>A0h.</w:t>
      </w:r>
    </w:p>
    <w:p w:rsidR="00A67A1D" w:rsidRDefault="00A67A1D">
      <w:pPr>
        <w:pStyle w:val="BodyText"/>
        <w:ind w:firstLine="0"/>
        <w:rPr>
          <w:sz w:val="20"/>
        </w:rPr>
      </w:pPr>
    </w:p>
    <w:p w:rsidR="00A67A1D" w:rsidRDefault="00EB161F">
      <w:pPr>
        <w:pStyle w:val="BodyText"/>
        <w:spacing w:before="5"/>
        <w:ind w:firstLine="0"/>
        <w:rPr>
          <w:sz w:val="26"/>
        </w:rPr>
      </w:pPr>
      <w:r>
        <w:rPr>
          <w:noProof/>
          <w:lang w:val="en-IN" w:eastAsia="en-IN"/>
        </w:rPr>
        <w:drawing>
          <wp:anchor distT="0" distB="0" distL="0" distR="0" simplePos="0" relativeHeight="251658240" behindDoc="0" locked="0" layoutInCell="1" allowOverlap="1">
            <wp:simplePos x="0" y="0"/>
            <wp:positionH relativeFrom="page">
              <wp:posOffset>1220649</wp:posOffset>
            </wp:positionH>
            <wp:positionV relativeFrom="paragraph">
              <wp:posOffset>217838</wp:posOffset>
            </wp:positionV>
            <wp:extent cx="5518150" cy="1417320"/>
            <wp:effectExtent l="0" t="0" r="0" b="0"/>
            <wp:wrapTopAndBottom/>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8" cstate="print"/>
                    <a:stretch>
                      <a:fillRect/>
                    </a:stretch>
                  </pic:blipFill>
                  <pic:spPr>
                    <a:xfrm>
                      <a:off x="0" y="0"/>
                      <a:ext cx="5518150" cy="1417320"/>
                    </a:xfrm>
                    <a:prstGeom prst="rect">
                      <a:avLst/>
                    </a:prstGeom>
                  </pic:spPr>
                </pic:pic>
              </a:graphicData>
            </a:graphic>
          </wp:anchor>
        </w:drawing>
      </w:r>
    </w:p>
    <w:p w:rsidR="00A67A1D" w:rsidRDefault="00A67A1D">
      <w:pPr>
        <w:rPr>
          <w:sz w:val="26"/>
        </w:rPr>
        <w:sectPr w:rsidR="00A67A1D">
          <w:headerReference w:type="even" r:id="rId9"/>
          <w:headerReference w:type="default" r:id="rId10"/>
          <w:footerReference w:type="even" r:id="rId11"/>
          <w:footerReference w:type="default" r:id="rId12"/>
          <w:headerReference w:type="first" r:id="rId13"/>
          <w:footerReference w:type="first" r:id="rId14"/>
          <w:type w:val="continuous"/>
          <w:pgSz w:w="12240" w:h="15840"/>
          <w:pgMar w:top="2060" w:right="1460" w:bottom="2180" w:left="1680" w:header="720" w:footer="2000" w:gutter="0"/>
          <w:cols w:space="720"/>
        </w:sectPr>
      </w:pPr>
    </w:p>
    <w:p w:rsidR="00A67A1D" w:rsidRDefault="00A67A1D">
      <w:pPr>
        <w:pStyle w:val="BodyText"/>
        <w:spacing w:before="5"/>
        <w:ind w:firstLine="0"/>
        <w:rPr>
          <w:sz w:val="5"/>
        </w:rPr>
      </w:pPr>
    </w:p>
    <w:p w:rsidR="00A67A1D" w:rsidRDefault="00EB161F">
      <w:pPr>
        <w:pStyle w:val="BodyText"/>
        <w:ind w:left="151" w:firstLine="0"/>
        <w:rPr>
          <w:sz w:val="20"/>
        </w:rPr>
      </w:pPr>
      <w:r>
        <w:rPr>
          <w:noProof/>
          <w:sz w:val="20"/>
          <w:lang w:val="en-IN" w:eastAsia="en-IN"/>
        </w:rPr>
        <w:drawing>
          <wp:inline distT="0" distB="0" distL="0" distR="0">
            <wp:extent cx="5587144" cy="5708142"/>
            <wp:effectExtent l="0" t="0" r="0" b="0"/>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15" cstate="print"/>
                    <a:stretch>
                      <a:fillRect/>
                    </a:stretch>
                  </pic:blipFill>
                  <pic:spPr>
                    <a:xfrm>
                      <a:off x="0" y="0"/>
                      <a:ext cx="5587144" cy="5708142"/>
                    </a:xfrm>
                    <a:prstGeom prst="rect">
                      <a:avLst/>
                    </a:prstGeom>
                  </pic:spPr>
                </pic:pic>
              </a:graphicData>
            </a:graphic>
          </wp:inline>
        </w:drawing>
      </w:r>
    </w:p>
    <w:sectPr w:rsidR="00A67A1D">
      <w:pgSz w:w="12240" w:h="15840"/>
      <w:pgMar w:top="2060" w:right="1460" w:bottom="2180" w:left="1680" w:header="720" w:footer="200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5B86" w:rsidRDefault="009A5B86">
      <w:r>
        <w:separator/>
      </w:r>
    </w:p>
  </w:endnote>
  <w:endnote w:type="continuationSeparator" w:id="0">
    <w:p w:rsidR="009A5B86" w:rsidRDefault="009A5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S UI Gothic">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Franklin Gothic Medium">
    <w:altName w:val="Franklin Gothic Medium"/>
    <w:panose1 w:val="020B06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39A2" w:rsidRDefault="003D39A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7A1D" w:rsidRDefault="009A5B86">
    <w:pPr>
      <w:pStyle w:val="BodyText"/>
      <w:spacing w:line="14" w:lineRule="auto"/>
      <w:ind w:firstLine="0"/>
      <w:rPr>
        <w:sz w:val="20"/>
      </w:rPr>
    </w:pPr>
    <w:r>
      <w:pict>
        <v:shapetype id="_x0000_t202" coordsize="21600,21600" o:spt="202" path="m,l,21600r21600,l21600,xe">
          <v:stroke joinstyle="miter"/>
          <v:path gradientshapeok="t" o:connecttype="rect"/>
        </v:shapetype>
        <v:shape id="_x0000_s2051" type="#_x0000_t202" style="position:absolute;margin-left:130.05pt;margin-top:692.25pt;width:351.7pt;height:52.25pt;z-index:-251658752;mso-position-horizontal-relative:page;mso-position-vertical-relative:page" filled="f" stroked="f">
          <v:textbox inset="0,0,0,0">
            <w:txbxContent>
              <w:p w:rsidR="003D39A2" w:rsidRPr="003D39A2" w:rsidRDefault="003D39A2" w:rsidP="003D39A2">
                <w:pPr>
                  <w:widowControl/>
                  <w:tabs>
                    <w:tab w:val="center" w:pos="4680"/>
                    <w:tab w:val="right" w:pos="9360"/>
                  </w:tabs>
                  <w:autoSpaceDE/>
                  <w:autoSpaceDN/>
                  <w:jc w:val="center"/>
                  <w:rPr>
                    <w:rFonts w:ascii="Calibri" w:eastAsia="Calibri" w:hAnsi="Calibri" w:cs="Times New Roman"/>
                    <w:sz w:val="20"/>
                    <w:szCs w:val="20"/>
                  </w:rPr>
                </w:pPr>
                <w:proofErr w:type="spellStart"/>
                <w:r w:rsidRPr="003D39A2">
                  <w:rPr>
                    <w:rFonts w:ascii="Algerian" w:eastAsia="Calibri" w:hAnsi="Algerian" w:cs="Times New Roman"/>
                    <w:b/>
                    <w:sz w:val="20"/>
                    <w:szCs w:val="20"/>
                  </w:rPr>
                  <w:t>Welltech</w:t>
                </w:r>
                <w:proofErr w:type="spellEnd"/>
                <w:r w:rsidRPr="003D39A2">
                  <w:rPr>
                    <w:rFonts w:ascii="Algerian" w:eastAsia="Calibri" w:hAnsi="Algerian" w:cs="Times New Roman"/>
                    <w:b/>
                    <w:sz w:val="20"/>
                    <w:szCs w:val="20"/>
                  </w:rPr>
                  <w:t xml:space="preserve"> Enterprises</w:t>
                </w:r>
              </w:p>
              <w:p w:rsidR="003D39A2" w:rsidRPr="003D39A2" w:rsidRDefault="003D39A2" w:rsidP="003D39A2">
                <w:pPr>
                  <w:widowControl/>
                  <w:tabs>
                    <w:tab w:val="center" w:pos="4680"/>
                    <w:tab w:val="right" w:pos="9360"/>
                  </w:tabs>
                  <w:autoSpaceDE/>
                  <w:autoSpaceDN/>
                  <w:jc w:val="center"/>
                  <w:rPr>
                    <w:rFonts w:ascii="Calibri" w:eastAsia="Calibri" w:hAnsi="Calibri" w:cs="Times New Roman"/>
                    <w:sz w:val="20"/>
                    <w:szCs w:val="20"/>
                  </w:rPr>
                </w:pPr>
                <w:r w:rsidRPr="003D39A2">
                  <w:rPr>
                    <w:rFonts w:ascii="Calibri" w:eastAsia="Calibri" w:hAnsi="Calibri" w:cs="Times New Roman"/>
                    <w:sz w:val="20"/>
                    <w:szCs w:val="20"/>
                  </w:rPr>
                  <w:t>415 Ground Floor</w:t>
                </w:r>
                <w:proofErr w:type="gramStart"/>
                <w:r w:rsidRPr="003D39A2">
                  <w:rPr>
                    <w:rFonts w:ascii="Calibri" w:eastAsia="Calibri" w:hAnsi="Calibri" w:cs="Times New Roman"/>
                    <w:sz w:val="20"/>
                    <w:szCs w:val="20"/>
                  </w:rPr>
                  <w:t>,  PRAKASH</w:t>
                </w:r>
                <w:proofErr w:type="gramEnd"/>
                <w:r w:rsidRPr="003D39A2">
                  <w:rPr>
                    <w:rFonts w:ascii="Calibri" w:eastAsia="Calibri" w:hAnsi="Calibri" w:cs="Times New Roman"/>
                    <w:sz w:val="20"/>
                    <w:szCs w:val="20"/>
                  </w:rPr>
                  <w:t xml:space="preserve"> MOHALLA, GARHI , EAST OF KAILASH</w:t>
                </w:r>
              </w:p>
              <w:p w:rsidR="003D39A2" w:rsidRPr="003D39A2" w:rsidRDefault="003D39A2" w:rsidP="003D39A2">
                <w:pPr>
                  <w:widowControl/>
                  <w:tabs>
                    <w:tab w:val="center" w:pos="4680"/>
                    <w:tab w:val="right" w:pos="9360"/>
                  </w:tabs>
                  <w:autoSpaceDE/>
                  <w:autoSpaceDN/>
                  <w:jc w:val="center"/>
                  <w:rPr>
                    <w:rFonts w:ascii="Calibri" w:eastAsia="Calibri" w:hAnsi="Calibri" w:cs="Times New Roman"/>
                    <w:sz w:val="20"/>
                    <w:szCs w:val="20"/>
                  </w:rPr>
                </w:pPr>
                <w:r w:rsidRPr="003D39A2">
                  <w:rPr>
                    <w:rFonts w:ascii="Calibri" w:eastAsia="Calibri" w:hAnsi="Calibri" w:cs="Times New Roman"/>
                    <w:sz w:val="20"/>
                    <w:szCs w:val="20"/>
                  </w:rPr>
                  <w:t>NEW DELHI 110065</w:t>
                </w:r>
              </w:p>
              <w:p w:rsidR="00A67A1D" w:rsidRPr="003D39A2" w:rsidRDefault="003D39A2" w:rsidP="003D39A2">
                <w:pPr>
                  <w:spacing w:before="39"/>
                  <w:ind w:left="20" w:right="18"/>
                  <w:jc w:val="center"/>
                  <w:rPr>
                    <w:rFonts w:ascii="Franklin Gothic Medium"/>
                    <w:sz w:val="20"/>
                    <w:szCs w:val="20"/>
                  </w:rPr>
                </w:pPr>
                <w:r w:rsidRPr="003D39A2">
                  <w:rPr>
                    <w:rFonts w:ascii="Calibri" w:eastAsia="Calibri" w:hAnsi="Calibri" w:cs="Times New Roman"/>
                    <w:sz w:val="20"/>
                    <w:szCs w:val="20"/>
                  </w:rPr>
                  <w:t xml:space="preserve">Phone </w:t>
                </w:r>
                <w:r w:rsidRPr="003D39A2">
                  <w:rPr>
                    <w:rFonts w:asciiTheme="minorHAnsi" w:eastAsiaTheme="minorHAnsi" w:hAnsiTheme="minorHAnsi" w:cstheme="minorBidi"/>
                    <w:sz w:val="20"/>
                    <w:szCs w:val="20"/>
                  </w:rPr>
                  <w:t xml:space="preserve">+91 9871650366     </w:t>
                </w:r>
                <w:proofErr w:type="gramStart"/>
                <w:r w:rsidRPr="003D39A2">
                  <w:rPr>
                    <w:rFonts w:asciiTheme="minorHAnsi" w:eastAsiaTheme="minorHAnsi" w:hAnsiTheme="minorHAnsi" w:cstheme="minorBidi"/>
                    <w:sz w:val="20"/>
                    <w:szCs w:val="20"/>
                  </w:rPr>
                  <w:t>Email :</w:t>
                </w:r>
                <w:proofErr w:type="gramEnd"/>
                <w:r w:rsidRPr="003D39A2">
                  <w:rPr>
                    <w:rFonts w:asciiTheme="minorHAnsi" w:eastAsiaTheme="minorHAnsi" w:hAnsiTheme="minorHAnsi" w:cstheme="minorBidi"/>
                    <w:sz w:val="20"/>
                    <w:szCs w:val="20"/>
                  </w:rPr>
                  <w:t xml:space="preserve"> </w:t>
                </w:r>
                <w:proofErr w:type="spellStart"/>
                <w:r w:rsidRPr="003D39A2">
                  <w:rPr>
                    <w:rFonts w:asciiTheme="minorHAnsi" w:eastAsiaTheme="minorHAnsi" w:hAnsiTheme="minorHAnsi" w:cstheme="minorBidi"/>
                    <w:sz w:val="20"/>
                    <w:szCs w:val="20"/>
                  </w:rPr>
                  <w:t>sales</w:t>
                </w:r>
                <w:r w:rsidRPr="003D39A2">
                  <w:rPr>
                    <w:rFonts w:ascii="Calibri" w:eastAsia="Calibri" w:hAnsi="Calibri" w:cs="Times New Roman"/>
                    <w:sz w:val="20"/>
                    <w:szCs w:val="20"/>
                  </w:rPr>
                  <w:t>@welltechenterprises</w:t>
                </w:r>
                <w:proofErr w:type="spellEnd"/>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39A2" w:rsidRDefault="003D39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5B86" w:rsidRDefault="009A5B86">
      <w:r>
        <w:separator/>
      </w:r>
    </w:p>
  </w:footnote>
  <w:footnote w:type="continuationSeparator" w:id="0">
    <w:p w:rsidR="009A5B86" w:rsidRDefault="009A5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39A2" w:rsidRDefault="003D39A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7A1D" w:rsidRDefault="003D39A2" w:rsidP="003D39A2">
    <w:pPr>
      <w:pStyle w:val="BodyText"/>
      <w:spacing w:line="14" w:lineRule="auto"/>
      <w:ind w:firstLine="0"/>
      <w:jc w:val="right"/>
      <w:rPr>
        <w:sz w:val="20"/>
      </w:rPr>
    </w:pPr>
    <w:r w:rsidRPr="004E66D8">
      <w:rPr>
        <w:noProof/>
        <w:lang w:val="en-IN" w:eastAsia="en-IN"/>
      </w:rPr>
      <w:drawing>
        <wp:inline distT="0" distB="0" distL="0" distR="0" wp14:anchorId="6B7320B0" wp14:editId="3ABA0203">
          <wp:extent cx="2857899" cy="647790"/>
          <wp:effectExtent l="19050" t="0" r="0" b="0"/>
          <wp:docPr id="1" name="Picture 5" descr="lates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test logo.png"/>
                  <pic:cNvPicPr/>
                </pic:nvPicPr>
                <pic:blipFill>
                  <a:blip r:embed="rId1" cstate="print"/>
                  <a:stretch>
                    <a:fillRect/>
                  </a:stretch>
                </pic:blipFill>
                <pic:spPr>
                  <a:xfrm>
                    <a:off x="0" y="0"/>
                    <a:ext cx="2857899" cy="647790"/>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39A2" w:rsidRDefault="003D39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961319"/>
    <w:multiLevelType w:val="hybridMultilevel"/>
    <w:tmpl w:val="ACF6DE24"/>
    <w:lvl w:ilvl="0" w:tplc="B672BC22">
      <w:numFmt w:val="bullet"/>
      <w:lvlText w:val="➢"/>
      <w:lvlJc w:val="left"/>
      <w:pPr>
        <w:ind w:left="839" w:hanging="360"/>
      </w:pPr>
      <w:rPr>
        <w:rFonts w:ascii="MS UI Gothic" w:eastAsia="MS UI Gothic" w:hAnsi="MS UI Gothic" w:cs="MS UI Gothic" w:hint="default"/>
        <w:w w:val="79"/>
        <w:sz w:val="22"/>
        <w:szCs w:val="22"/>
        <w:lang w:val="en-US" w:eastAsia="en-US" w:bidi="ar-SA"/>
      </w:rPr>
    </w:lvl>
    <w:lvl w:ilvl="1" w:tplc="12803C3A">
      <w:numFmt w:val="bullet"/>
      <w:lvlText w:val="•"/>
      <w:lvlJc w:val="left"/>
      <w:pPr>
        <w:ind w:left="1666" w:hanging="360"/>
      </w:pPr>
      <w:rPr>
        <w:rFonts w:hint="default"/>
        <w:lang w:val="en-US" w:eastAsia="en-US" w:bidi="ar-SA"/>
      </w:rPr>
    </w:lvl>
    <w:lvl w:ilvl="2" w:tplc="CDD4FC2E">
      <w:numFmt w:val="bullet"/>
      <w:lvlText w:val="•"/>
      <w:lvlJc w:val="left"/>
      <w:pPr>
        <w:ind w:left="2492" w:hanging="360"/>
      </w:pPr>
      <w:rPr>
        <w:rFonts w:hint="default"/>
        <w:lang w:val="en-US" w:eastAsia="en-US" w:bidi="ar-SA"/>
      </w:rPr>
    </w:lvl>
    <w:lvl w:ilvl="3" w:tplc="0CEC0D18">
      <w:numFmt w:val="bullet"/>
      <w:lvlText w:val="•"/>
      <w:lvlJc w:val="left"/>
      <w:pPr>
        <w:ind w:left="3318" w:hanging="360"/>
      </w:pPr>
      <w:rPr>
        <w:rFonts w:hint="default"/>
        <w:lang w:val="en-US" w:eastAsia="en-US" w:bidi="ar-SA"/>
      </w:rPr>
    </w:lvl>
    <w:lvl w:ilvl="4" w:tplc="C6D6767E">
      <w:numFmt w:val="bullet"/>
      <w:lvlText w:val="•"/>
      <w:lvlJc w:val="left"/>
      <w:pPr>
        <w:ind w:left="4144" w:hanging="360"/>
      </w:pPr>
      <w:rPr>
        <w:rFonts w:hint="default"/>
        <w:lang w:val="en-US" w:eastAsia="en-US" w:bidi="ar-SA"/>
      </w:rPr>
    </w:lvl>
    <w:lvl w:ilvl="5" w:tplc="61AEC5B6">
      <w:numFmt w:val="bullet"/>
      <w:lvlText w:val="•"/>
      <w:lvlJc w:val="left"/>
      <w:pPr>
        <w:ind w:left="4970" w:hanging="360"/>
      </w:pPr>
      <w:rPr>
        <w:rFonts w:hint="default"/>
        <w:lang w:val="en-US" w:eastAsia="en-US" w:bidi="ar-SA"/>
      </w:rPr>
    </w:lvl>
    <w:lvl w:ilvl="6" w:tplc="5DF05D78">
      <w:numFmt w:val="bullet"/>
      <w:lvlText w:val="•"/>
      <w:lvlJc w:val="left"/>
      <w:pPr>
        <w:ind w:left="5796" w:hanging="360"/>
      </w:pPr>
      <w:rPr>
        <w:rFonts w:hint="default"/>
        <w:lang w:val="en-US" w:eastAsia="en-US" w:bidi="ar-SA"/>
      </w:rPr>
    </w:lvl>
    <w:lvl w:ilvl="7" w:tplc="42482318">
      <w:numFmt w:val="bullet"/>
      <w:lvlText w:val="•"/>
      <w:lvlJc w:val="left"/>
      <w:pPr>
        <w:ind w:left="6622" w:hanging="360"/>
      </w:pPr>
      <w:rPr>
        <w:rFonts w:hint="default"/>
        <w:lang w:val="en-US" w:eastAsia="en-US" w:bidi="ar-SA"/>
      </w:rPr>
    </w:lvl>
    <w:lvl w:ilvl="8" w:tplc="C1346AAA">
      <w:numFmt w:val="bullet"/>
      <w:lvlText w:val="•"/>
      <w:lvlJc w:val="left"/>
      <w:pPr>
        <w:ind w:left="7448"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A67A1D"/>
    <w:rsid w:val="003D39A2"/>
    <w:rsid w:val="008523E4"/>
    <w:rsid w:val="009A5B86"/>
    <w:rsid w:val="00A67A1D"/>
    <w:rsid w:val="00EB16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C2B99E38-30DA-4674-BDBD-C90880AFC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19"/>
      <w:outlineLvl w:val="0"/>
    </w:pPr>
    <w:rPr>
      <w:sz w:val="28"/>
      <w:szCs w:val="28"/>
    </w:rPr>
  </w:style>
  <w:style w:type="paragraph" w:styleId="Heading2">
    <w:name w:val="heading 2"/>
    <w:basedOn w:val="Normal"/>
    <w:uiPriority w:val="1"/>
    <w:qFormat/>
    <w:pPr>
      <w:spacing w:line="270" w:lineRule="exact"/>
      <w:ind w:left="119"/>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hanging="361"/>
    </w:pPr>
  </w:style>
  <w:style w:type="paragraph" w:styleId="ListParagraph">
    <w:name w:val="List Paragraph"/>
    <w:basedOn w:val="Normal"/>
    <w:uiPriority w:val="1"/>
    <w:qFormat/>
    <w:pPr>
      <w:spacing w:line="253" w:lineRule="exact"/>
      <w:ind w:left="84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D39A2"/>
    <w:pPr>
      <w:tabs>
        <w:tab w:val="center" w:pos="4513"/>
        <w:tab w:val="right" w:pos="9026"/>
      </w:tabs>
    </w:pPr>
  </w:style>
  <w:style w:type="character" w:customStyle="1" w:styleId="HeaderChar">
    <w:name w:val="Header Char"/>
    <w:basedOn w:val="DefaultParagraphFont"/>
    <w:link w:val="Header"/>
    <w:uiPriority w:val="99"/>
    <w:rsid w:val="003D39A2"/>
    <w:rPr>
      <w:rFonts w:ascii="Arial" w:eastAsia="Arial" w:hAnsi="Arial" w:cs="Arial"/>
    </w:rPr>
  </w:style>
  <w:style w:type="paragraph" w:styleId="Footer">
    <w:name w:val="footer"/>
    <w:basedOn w:val="Normal"/>
    <w:link w:val="FooterChar"/>
    <w:uiPriority w:val="99"/>
    <w:unhideWhenUsed/>
    <w:rsid w:val="003D39A2"/>
    <w:pPr>
      <w:tabs>
        <w:tab w:val="center" w:pos="4513"/>
        <w:tab w:val="right" w:pos="9026"/>
      </w:tabs>
    </w:pPr>
  </w:style>
  <w:style w:type="character" w:customStyle="1" w:styleId="FooterChar">
    <w:name w:val="Footer Char"/>
    <w:basedOn w:val="DefaultParagraphFont"/>
    <w:link w:val="Footer"/>
    <w:uiPriority w:val="99"/>
    <w:rsid w:val="003D39A2"/>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187</Words>
  <Characters>1072</Characters>
  <Application>Microsoft Office Word</Application>
  <DocSecurity>0</DocSecurity>
  <Lines>8</Lines>
  <Paragraphs>2</Paragraphs>
  <ScaleCrop>false</ScaleCrop>
  <Company/>
  <LinksUpToDate>false</LinksUpToDate>
  <CharactersWithSpaces>1257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AT-SFP-T</dc:title>
  <dc:creator>Subhash</dc:creator>
  <cp:lastModifiedBy>Nitin</cp:lastModifiedBy>
  <cp:revision>4</cp:revision>
  <dcterms:created xsi:type="dcterms:W3CDTF">2020-08-15T11:20:00Z</dcterms:created>
  <dcterms:modified xsi:type="dcterms:W3CDTF">2020-08-16T14:11:00Z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2013-04-03T00:00:00Z</vt:filetime>
  </property>
  <property fmtid="{D5CDD505-2E9C-101B-9397-08002B2CF9AE}" pid="3" name="Creator">
    <vt:lpwstr>PScript5.dll Version 5.2.2</vt:lpwstr>
  </property>
  <property fmtid="{D5CDD505-2E9C-101B-9397-08002B2CF9AE}" pid="4" name="LastSaved">
    <vt:filetime>2020-08-15T00:00:00Z</vt:filetime>
  </property>
</Properties>
</file>