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วันที่ประกาศ: 2026-09-29</w:t>
      </w:r>
    </w:p>
    <w:p>
      <w:r>
        <w:rPr>
          <w:b/>
          <w:sz w:val="22"/>
        </w:rPr>
        <w:t>แหล่งอ้างอิง: https://www.prd.go.th/th/content/category/detail/id/33/iid/546214</w:t>
      </w:r>
    </w:p>
    <w:p/>
    <w:p>
      <w:pPr>
        <w:pStyle w:val="Title"/>
      </w:pPr>
      <w:r>
        <w:t>ร่างพระราชบัญญัติว่าด้วยธุรกรรมทางอิเล็กทรอนิกส์ (ฉบับปรับปรุงใหญ่) พ.ศ. ....</w:t>
      </w:r>
    </w:p>
    <w:p>
      <w:r>
        <w:rPr>
          <w:b w:val="0"/>
          <w:sz w:val="22"/>
        </w:rPr>
        <w:t>สรุปและเปรียบเทียบสาระสำคัญของร่างกฎหมายปรับปรุงพระราชบัญญัติว่าด้วยธุรกรรมทางอิเล็กทรอนิกส์ พ.ศ. 2544 และที่แก้ไขเพิ่มเติม ซึ่งคณะรัฐมนตรีได้พิจารณาเมื่อวันที่ 29 กันยายน 2569 (นำเสนอโดยสำนักงานขับเคลื่อนการปฏิรูปประเทศ ยุทธศาสตร์ชาติ และการสร้างความสามัคคีปรองดอง (ป.ย.ป.) ร่วมกับสำนักงานพัฒนาธุรกรรมทางอิเล็กทรอนิกส์ (สพธอ./ETDA))</w:t>
      </w:r>
    </w:p>
    <w:p>
      <w:pPr>
        <w:pStyle w:val="Heading1"/>
      </w:pPr>
      <w:r>
        <w:t>1. ข้อมูลการประกาศจากแหล่งต้นทาง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สถานะการประกาศ</w:t>
            </w:r>
          </w:p>
        </w:tc>
        <w:tc>
          <w:tcPr>
            <w:tcW w:type="dxa" w:w="4320"/>
          </w:tcPr>
          <w:p>
            <w:r>
              <w:t>คณะรัฐมนตรีพิจารณาให้ความเห็นชอบร่างกฎหมายในหลักการ (ยังไม่ประกาศในราชกิจจานุเบกษา)</w:t>
            </w:r>
          </w:p>
        </w:tc>
      </w:tr>
      <w:tr>
        <w:tc>
          <w:tcPr>
            <w:tcW w:type="dxa" w:w="4320"/>
          </w:tcPr>
          <w:p>
            <w:r>
              <w:t>วันที่คณะรัฐมนตรีพิจารณา</w:t>
            </w:r>
          </w:p>
        </w:tc>
        <w:tc>
          <w:tcPr>
            <w:tcW w:type="dxa" w:w="4320"/>
          </w:tcPr>
          <w:p>
            <w:r>
              <w:t>29 กันยายน 2569 (แถลงข่าวเวลาประมาณ 16:10 น.)</w:t>
            </w:r>
          </w:p>
        </w:tc>
      </w:tr>
      <w:tr>
        <w:tc>
          <w:tcPr>
            <w:tcW w:type="dxa" w:w="4320"/>
          </w:tcPr>
          <w:p>
            <w:r>
              <w:t>วันเริ่มบังคับใช้ (คาดการณ์)</w:t>
            </w:r>
          </w:p>
        </w:tc>
        <w:tc>
          <w:tcPr>
            <w:tcW w:type="dxa" w:w="4320"/>
          </w:tcPr>
          <w:p>
            <w:r>
              <w:t>180 วัน นับแต่วันประกาศในราชกิจจานุเบกษา (ยังไม่มีกำหนดวันประกาศแน่ชัด)</w:t>
            </w:r>
          </w:p>
        </w:tc>
      </w:tr>
      <w:tr>
        <w:tc>
          <w:tcPr>
            <w:tcW w:type="dxa" w:w="4320"/>
          </w:tcPr>
          <w:p>
            <w:r>
              <w:t>แหล่งที่พบ</w:t>
            </w:r>
          </w:p>
        </w:tc>
        <w:tc>
          <w:tcPr>
            <w:tcW w:type="dxa" w:w="4320"/>
          </w:tcPr>
          <w:p>
            <w:r>
              <w:t>ข่าวสำนักนายกรัฐมนตรี/กรมประชาสัมพันธ์ (PRD) อ้างอิงการแถลงของรองโฆษกประจำสำนักนายกรัฐมนตรี (นางสาวลลิดา พีระวิสุทธิวัฒน์) — เข้าข่ายแหล่งข้อมูลตามหมวด สลค. (มติคณะรัฐมนตรี) ยังไม่ปรากฏเลขที่หนังสือมติคณะรัฐมนตรีอย่างเป็นทางการบนเว็บไซต์ resolution.soc.go.th ณ เวลาที่ตรวจสอบ</w:t>
            </w:r>
          </w:p>
        </w:tc>
      </w:tr>
      <w:tr>
        <w:tc>
          <w:tcPr>
            <w:tcW w:type="dxa" w:w="4320"/>
          </w:tcPr>
          <w:p>
            <w:r>
              <w:t>กฎหมายลูกที่เตรียมไว้แล้ว</w:t>
            </w:r>
          </w:p>
        </w:tc>
        <w:tc>
          <w:tcPr>
            <w:tcW w:type="dxa" w:w="4320"/>
          </w:tcPr>
          <w:p>
            <w:r>
              <w:t>26 ฉบับ (พระราชกฤษฎีกา 2 ฉบับ, กฎกระทรวง 3 ฉบับ, ประกาศ 21 ฉบับ)</w:t>
            </w:r>
          </w:p>
        </w:tc>
      </w:tr>
      <w:tr>
        <w:tc>
          <w:tcPr>
            <w:tcW w:type="dxa" w:w="4320"/>
          </w:tcPr>
          <w:p>
            <w:r>
              <w:t>หน่วยงานรับผิดชอบหลัก</w:t>
            </w:r>
          </w:p>
        </w:tc>
        <w:tc>
          <w:tcPr>
            <w:tcW w:type="dxa" w:w="4320"/>
          </w:tcPr>
          <w:p>
            <w:r>
              <w:t>สำนักงานพัฒนาธุรกรรมทางอิเล็กทรอนิกส์ (สพธอ./ETDA) กระทรวงดิจิทัลเพื่อเศรษฐกิจและสังคม (MDES)</w:t>
            </w:r>
          </w:p>
        </w:tc>
      </w:tr>
    </w:tbl>
    <w:p>
      <w:r>
        <w:rPr>
          <w:b w:val="0"/>
          <w:sz w:val="22"/>
        </w:rPr>
      </w:r>
    </w:p>
    <w:p>
      <w:pPr>
        <w:pStyle w:val="Heading1"/>
      </w:pPr>
      <w:r>
        <w:t>2. วัตถุประสงค์และเหตุผลความจำเป็น</w:t>
      </w:r>
    </w:p>
    <w:p>
      <w:r>
        <w:rPr>
          <w:b w:val="0"/>
          <w:sz w:val="22"/>
        </w:rPr>
        <w:t>พระราชบัญญัติว่าด้วยธุรกรรมทางอิเล็กทรอนิกส์ พ.ศ. 2544 ใช้บังคับมานานกว่า 20 ปี แม้จะมีการแก้ไขเพิ่มเติมมาแล้วหลายฉบับ (ฉบับที่ 2 พ.ศ. 2551, ฉบับที่ 3 พ.ศ. 2562 ว่าด้วยการพิสูจน์และยืนยันตัวตนทางดิจิทัล, ฉบับที่ 4 พ.ศ. 2563 ว่าด้วยการประชุมผ่านสื่ออิเล็กทรอนิกส์) แต่ยังไม่ครอบคลุมรูปแบบธุรกรรมยุคใหม่ เช่น สัญญาอัตโนมัติที่ทำงานโดยระบบโดยไม่มีมนุษย์แทรกแซง (automated/smart contracts), ตราสารเปลี่ยนมือทางอิเล็กทรอนิกส์ (เช็ค ตั๋วแลกเงิน ตั๋วสัญญาใช้เงินในรูปแบบดิจิทัล) และบริการกลางที่รองรับธุรกรรมดิจิทัลจำนวนมาก ร่างกฎหมายฉบับนี้จึงมุ่งปรับปรุงโครงสร้างกฎหมายทั้งฉบับ เพื่อให้ช่องทางดิจิทัลเป็น "ช่องทางหลัก" ของธุรกรรมภาครัฐและเอกชน โดยยังไม่ตัดทางเลือกการใช้เอกสารกระดาษแบบเดิม พร้อมวางกรอบกำกับดูแลผู้ให้บริการที่เกี่ยวข้องกับธุรกรรมอิเล็กทรอนิกส์อย่างเป็นระบบ</w:t>
      </w:r>
    </w:p>
    <w:p>
      <w:pPr>
        <w:pStyle w:val="Heading1"/>
      </w:pPr>
      <w:r>
        <w:t>3. ตารางเปรียบเทียบเชิงลึก (กฎหมายเดิม vs ร่างกฎหมายใหม่)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ประเด็น</w:t>
            </w:r>
          </w:p>
        </w:tc>
        <w:tc>
          <w:tcPr>
            <w:tcW w:type="dxa" w:w="2880"/>
          </w:tcPr>
          <w:p>
            <w:r>
              <w:t>กฎหมายเดิม (พ.ร.บ. 2544 และฉบับแก้ไข)</w:t>
            </w:r>
          </w:p>
        </w:tc>
        <w:tc>
          <w:tcPr>
            <w:tcW w:type="dxa" w:w="2880"/>
          </w:tcPr>
          <w:p>
            <w:r>
              <w:t>ร่างกฎหมายใหม่ (ฉบับปรับปรุงใหญ่ 2569)</w:t>
            </w:r>
          </w:p>
        </w:tc>
      </w:tr>
      <w:tr>
        <w:tc>
          <w:tcPr>
            <w:tcW w:type="dxa" w:w="2880"/>
          </w:tcPr>
          <w:p>
            <w:r>
              <w:t>ลายมือชื่อ/ตราประทับอิเล็กทรอนิกส์</w:t>
            </w:r>
          </w:p>
        </w:tc>
        <w:tc>
          <w:tcPr>
            <w:tcW w:type="dxa" w:w="2880"/>
          </w:tcPr>
          <w:p>
            <w:r>
              <w:t>รับรองลายมือชื่ออิเล็กทรอนิกส์อย่างกว้าง ๆ ไม่มีเกณฑ์วิธีการที่น่าเชื่อถือชัดเจนสำหรับทุกกรณี</w:t>
            </w:r>
          </w:p>
        </w:tc>
        <w:tc>
          <w:tcPr>
            <w:tcW w:type="dxa" w:w="2880"/>
          </w:tcPr>
          <w:p>
            <w:r>
              <w:t>กำหนดเกณฑ์ "วิธีการที่เชื่อถือได้" ของลายมือชื่อและตราประทับอิเล็กทรอนิกส์ให้ชัดเจนขึ้น (เพิ่มความเข้มงวด/ความชัดเจน)</w:t>
            </w:r>
          </w:p>
        </w:tc>
      </w:tr>
      <w:tr>
        <w:tc>
          <w:tcPr>
            <w:tcW w:type="dxa" w:w="2880"/>
          </w:tcPr>
          <w:p>
            <w:r>
              <w:t>สัญญาอัตโนมัติ (Automated/Smart Contracts)</w:t>
            </w:r>
          </w:p>
        </w:tc>
        <w:tc>
          <w:tcPr>
            <w:tcW w:type="dxa" w:w="2880"/>
          </w:tcPr>
          <w:p>
            <w:r>
              <w:t>ไม่มีบทบัญญัติรองรับสัญญาที่ทำงานโดยระบบอัตโนมัติโดยไม่มีมนุษย์แทรกแซง</w:t>
            </w:r>
          </w:p>
        </w:tc>
        <w:tc>
          <w:tcPr>
            <w:tcW w:type="dxa" w:w="2880"/>
          </w:tcPr>
          <w:p>
            <w:r>
              <w:t>เพิ่มใหม่: รับรองผลทางกฎหมายของสัญญาที่เกิดจากระบบอัตโนมัติ หากคู่สัญญาคาดหมายพฤติกรรมของระบบได้ตามสมควร</w:t>
            </w:r>
          </w:p>
        </w:tc>
      </w:tr>
      <w:tr>
        <w:tc>
          <w:tcPr>
            <w:tcW w:type="dxa" w:w="2880"/>
          </w:tcPr>
          <w:p>
            <w:r>
              <w:t>ตราสารเปลี่ยนมือทางอิเล็กทรอนิกส์</w:t>
            </w:r>
          </w:p>
        </w:tc>
        <w:tc>
          <w:tcPr>
            <w:tcW w:type="dxa" w:w="2880"/>
          </w:tcPr>
          <w:p>
            <w:r>
              <w:t>ไม่ครอบคลุมเช็ค ตั๋วแลกเงิน ตั๋วสัญญาใช้เงินในรูปแบบอิเล็กทรอนิกส์</w:t>
            </w:r>
          </w:p>
        </w:tc>
        <w:tc>
          <w:tcPr>
            <w:tcW w:type="dxa" w:w="2880"/>
          </w:tcPr>
          <w:p>
            <w:r>
              <w:t>เพิ่มใหม่: รองรับเช็ค ตั๋วแลกเงิน และตั๋วสัญญาใช้เงินในรูปแบบอิเล็กทรอนิกส์อย่างเป็นทางการ</w:t>
            </w:r>
          </w:p>
        </w:tc>
      </w:tr>
      <w:tr>
        <w:tc>
          <w:tcPr>
            <w:tcW w:type="dxa" w:w="2880"/>
          </w:tcPr>
          <w:p>
            <w:r>
              <w:t>การกำกับดูแลผู้ให้บริการ</w:t>
            </w:r>
          </w:p>
        </w:tc>
        <w:tc>
          <w:tcPr>
            <w:tcW w:type="dxa" w:w="2880"/>
          </w:tcPr>
          <w:p>
            <w:r>
              <w:t>กำกับดูแลบริการยืนยันตัวตนทางดิจิทัลเป็นหลัก (ตามฉบับที่ 3/2562) ขอบเขตจำกัด</w:t>
            </w:r>
          </w:p>
        </w:tc>
        <w:tc>
          <w:tcPr>
            <w:tcW w:type="dxa" w:w="2880"/>
          </w:tcPr>
          <w:p>
            <w:r>
              <w:t>ขยายเป็น 7 ประเภทบริการ ได้แก่ (1) พิสูจน์และยืนยันตัวตน (2) ลายมือชื่ออิเล็กทรอนิกส์ (3) การประทับเวลา (4) การรับ-ส่ง-เก็บรักษาข้อมูล (5) การจดทะเบียน/รับรองชื่อโดเมน (6) ระบบตราสารเปลี่ยนมือทางอิเล็กทรอนิกส์ (7) บริการอื่นตามที่กฎกระทรวงกำหนด — ใช้แนวทางกำกับตามความเสี่ยง (risk-based)</w:t>
            </w:r>
          </w:p>
        </w:tc>
      </w:tr>
      <w:tr>
        <w:tc>
          <w:tcPr>
            <w:tcW w:type="dxa" w:w="2880"/>
          </w:tcPr>
          <w:p>
            <w:r>
              <w:t>หลักฐานทางอิเล็กทรอนิกส์</w:t>
            </w:r>
          </w:p>
        </w:tc>
        <w:tc>
          <w:tcPr>
            <w:tcW w:type="dxa" w:w="2880"/>
          </w:tcPr>
          <w:p>
            <w:r>
              <w:t>รับรองข้อมูลอิเล็กทรอนิกส์เป็นพยานหลักฐานได้ในหลักการทั่วไป</w:t>
            </w:r>
          </w:p>
        </w:tc>
        <w:tc>
          <w:tcPr>
            <w:tcW w:type="dxa" w:w="2880"/>
          </w:tcPr>
          <w:p>
            <w:r>
              <w:t>ยืนยันสถานะข้อมูลอิเล็กทรอนิกส์เป็นพยานหลักฐานในกระบวนการทางกฎหมายให้ชัดเจนและครอบคลุมรูปแบบใหม่มากขึ้น</w:t>
            </w:r>
          </w:p>
        </w:tc>
      </w:tr>
      <w:tr>
        <w:tc>
          <w:tcPr>
            <w:tcW w:type="dxa" w:w="2880"/>
          </w:tcPr>
          <w:p>
            <w:r>
              <w:t>ผู้ให้บริการยืนยันตัวตนดิจิทัลรายเดิม</w:t>
            </w:r>
          </w:p>
        </w:tc>
        <w:tc>
          <w:tcPr>
            <w:tcW w:type="dxa" w:w="2880"/>
          </w:tcPr>
          <w:p>
            <w:r>
              <w:t>อยู่ภายใต้ พ.ร.บ. ฉบับที่ 3/2562 และกฎหมายลูกชุดเดิม</w:t>
            </w:r>
          </w:p>
        </w:tc>
        <w:tc>
          <w:tcPr>
            <w:tcW w:type="dxa" w:w="2880"/>
          </w:tcPr>
          <w:p>
            <w:r>
              <w:t>มีบทเฉพาะกาล: ให้ถือว่าผู้ได้รับใบอนุญาต/ขึ้นทะเบียนตามกฎหมายเดิมยังคงได้รับการรับรองต่อไป จนกว่ากฎหมายกำกับดูแลแพลตฟอร์มดิจิทัลฉบับแยกต่างหากจะมีผลใช้บังคับ</w:t>
            </w:r>
          </w:p>
        </w:tc>
      </w:tr>
      <w:tr>
        <w:tc>
          <w:tcPr>
            <w:tcW w:type="dxa" w:w="2880"/>
          </w:tcPr>
          <w:p>
            <w:r>
              <w:t>บทกำหนดโทษ/มาตรการบังคับ</w:t>
            </w:r>
          </w:p>
        </w:tc>
        <w:tc>
          <w:tcPr>
            <w:tcW w:type="dxa" w:w="2880"/>
          </w:tcPr>
          <w:p>
            <w:r>
              <w:t>กำหนดโทษทางอาญาและทางปกครองกระจายอยู่ในกฎหมายหลักและกฎหมายลูกหลายฉบับ</w:t>
            </w:r>
          </w:p>
        </w:tc>
        <w:tc>
          <w:tcPr>
            <w:tcW w:type="dxa" w:w="2880"/>
          </w:tcPr>
          <w:p>
            <w:r>
              <w:t>ยังไม่เปิดเผยตัวเลขโทษปรับหรือบทลงโทษที่ชัดเจนต่อสาธารณะในชั้นนี้ คาดว่าจะกำหนดรายละเอียดในกฎหมายลูก 26 ฉบับที่เตรียมไว้ (พระราชกฤษฎีกา 2, กฎกระทรวง 3, ประกาศ 21) — ต้องติดตามเมื่อร่างกฎหมายลูกเผยแพร่</w:t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sz w:val="22"/>
        </w:rPr>
        <w:t xml:space="preserve">หมายเหตุ: </w:t>
      </w:r>
    </w:p>
    <w:p>
      <w:r>
        <w:rPr>
          <w:b w:val="0"/>
          <w:sz w:val="22"/>
        </w:rPr>
        <w:t>ข้อมูลข้างต้นเป็นการสรุปจากการแถลงข่าวของรองโฆษกประจำสำนักนายกรัฐมนตรีและสำนักข่าวที่ติดตามการประชุมคณะรัฐมนตรี วันที่ 29 กันยายน 2569 เนื่องจากร่างกฎหมายฉบับเต็มและกฎหมายลูกยังไม่เผยแพร่ต่อสาธารณะอย่างเป็นทางการ รายละเอียดอาจเปลี่ยนแปลงได้เมื่อร่างกฎหมายผ่านการตรวจพิจารณาของสำนักงานคณะกรรมการกฤษฎีกาอย่างเป็นทางการและเข้าสู่กระบวนการรัฐสภา</w:t>
      </w:r>
    </w:p>
    <w:p>
      <w:pPr>
        <w:pStyle w:val="Heading1"/>
      </w:pPr>
      <w:r>
        <w:t>4. การบูรณาการกับกฎหมายอื่น</w:t>
      </w:r>
    </w:p>
    <w:p>
      <w:pPr>
        <w:pStyle w:val="ListBullet"/>
      </w:pPr>
      <w:r>
        <w:t>พระราชบัญญัติคุ้มครองข้อมูลส่วนบุคคล พ.ศ. 2562 (PDPA): บริการรับ-ส่ง-เก็บรักษาข้อมูลอิเล็กทรอนิกส์ภายใต้ร่างกฎหมายใหม่ ต้องออกแบบให้สอดคล้องกับหลักการคุ้มครองข้อมูลส่วนบุคคลเมื่อมีการประมวลผลข้อมูลส่วนบุคคลร่วมด้วย</w:t>
      </w:r>
    </w:p>
    <w:p>
      <w:pPr>
        <w:pStyle w:val="ListBullet"/>
      </w:pPr>
      <w:r>
        <w:t>พระราชบัญญัติว่าด้วยการกระทำความผิดเกี่ยวกับคอมพิวเตอร์ พ.ศ. 2550 และที่แก้ไขเพิ่มเติม: การพิสูจน์ตัวตนและการเก็บรักษาข้อมูลจราจรของผู้ให้บริการทั้ง 7 ประเภทเชื่อมโยงกับหน้าที่การเก็บรักษาข้อมูลตามกฎหมายว่าด้วยคอมพิวเตอร์</w:t>
      </w:r>
    </w:p>
    <w:p>
      <w:pPr>
        <w:pStyle w:val="ListBullet"/>
      </w:pPr>
      <w:r>
        <w:t>ประมวลกฎหมายแพ่งและพาณิชย์ (ลักษณะตั๋วเงิน): การรับรองเช็ค ตั๋วแลกเงิน และตั๋วสัญญาใช้เงินในรูปแบบอิเล็กทรอนิกส์ จำเป็นต้องปรับความสอดคล้องกับบทบัญญัติเรื่องตั๋วเงินในประมวลกฎหมายแพ่งและพาณิชย์</w:t>
      </w:r>
    </w:p>
    <w:p>
      <w:pPr>
        <w:pStyle w:val="ListBullet"/>
      </w:pPr>
      <w:r>
        <w:t>ร่างกฎหมายกำกับดูแลแพลตฟอร์มดิจิทัล (ฉบับแยกต่างหาก): บทเฉพาะกาลของร่างกฎหมายนี้เชื่อมโยงโดยตรงกับช่วงเวลาที่กฎหมายกำกับแพลตฟอร์มดิจิทัลจะมีผลใช้บังคับ</w:t>
      </w:r>
    </w:p>
    <w:p>
      <w:pPr>
        <w:pStyle w:val="ListBullet"/>
      </w:pPr>
      <w:r>
        <w:t>พระราชบัญญัติว่าด้วยธุรกรรมทางอิเล็กทรอนิกส์ (ฉบับที่ 3) พ.ศ. 2562 ว่าด้วยการพิสูจน์และยืนยันตัวตนทางดิจิทัล: เป็นฐานกฎหมายเดิมที่ร่างฉบับใหม่นี้จะยกเลิกและรวบรวมเข้าเป็นกรอบเดียวกัน</w:t>
      </w:r>
    </w:p>
    <w:p>
      <w:pPr>
        <w:pStyle w:val="Heading1"/>
      </w:pPr>
      <w:r>
        <w:t>5. ผลกระทบต่อภาคธุรกิจและบุคคล</w:t>
      </w:r>
    </w:p>
    <w:p>
      <w:r>
        <w:rPr>
          <w:b/>
          <w:sz w:val="22"/>
        </w:rPr>
        <w:t>หน้าที่ใหม่ของบริษัทเทคโนโลยีและผู้ให้บริการ:</w:t>
      </w:r>
    </w:p>
    <w:p>
      <w:pPr>
        <w:pStyle w:val="ListBullet"/>
      </w:pPr>
      <w:r>
        <w:t>ผู้ประกอบธุรกิจที่เข้าข่าย 7 ประเภทบริการ (ยืนยันตัวตน, ลายมือชื่ออิเล็กทรอนิกส์, ประทับเวลา, รับ-ส่ง-เก็บข้อมูล, จดทะเบียนโดเมน, ระบบตราสารเปลี่ยนมือ, บริการอื่นตามกฎกระทรวง) ต้องเตรียมขึ้นทะเบียน/ขอรับใบอนุญาตตามเกณฑ์กำกับความเสี่ยงใหม่</w:t>
      </w:r>
    </w:p>
    <w:p>
      <w:pPr>
        <w:pStyle w:val="ListBullet"/>
      </w:pPr>
      <w:r>
        <w:t>ผู้พัฒนาระบบที่ใช้สัญญาอัตโนมัติ (เช่น สัญญาอัจฉริยะ, ระบบเทรดอัตโนมัติ, ตัวแทน AI ทำธุรกรรมแทนมนุษย์) ต้องทบทวนกลไกให้ผู้ใช้งาน "คาดหมายพฤติกรรมของระบบได้ตามสมควร" เพื่อให้สัญญามีผลผูกพันทางกฎหมาย</w:t>
      </w:r>
    </w:p>
    <w:p>
      <w:pPr>
        <w:pStyle w:val="ListBullet"/>
      </w:pPr>
      <w:r>
        <w:t>ธนาคารและสถาบันการเงินที่เกี่ยวข้องกับตั๋วเงิน ต้องเตรียมระบบรองรับเช็ค ตั๋วแลกเงิน ตั๋วสัญญาใช้เงินในรูปแบบอิเล็กทรอนิกส์</w:t>
      </w:r>
    </w:p>
    <w:p>
      <w:r>
        <w:rPr>
          <w:b/>
          <w:sz w:val="22"/>
        </w:rPr>
        <w:t>สิทธิและความคุ้มครองของประชาชน:</w:t>
      </w:r>
    </w:p>
    <w:p>
      <w:pPr>
        <w:pStyle w:val="ListBullet"/>
      </w:pPr>
      <w:r>
        <w:t>ประชาชนสามารถใช้ช่องทางดิจิทัลเป็นช่องทางหลักในการทำธุรกรรมกับภาครัฐและเอกชนได้มากขึ้น โดยยังคงมีสิทธิเลือกใช้เอกสารกระดาษได้ตามเดิม</w:t>
      </w:r>
    </w:p>
    <w:p>
      <w:pPr>
        <w:pStyle w:val="ListBullet"/>
      </w:pPr>
      <w:r>
        <w:t>ข้อมูลอิเล็กทรอนิกส์และลายมือชื่ออิเล็กทรอนิกส์ที่ทำตามเกณฑ์ใหม่จะมีน้ำหนักเป็นพยานหลักฐานที่ชัดเจนขึ้นในการฟ้องร้องหรือโต้แย้งสิทธิ</w:t>
      </w:r>
    </w:p>
    <w:p>
      <w:pPr>
        <w:pStyle w:val="ListBullet"/>
      </w:pPr>
      <w:r>
        <w:t>ผู้ใช้บริการยืนยันตัวตนดิจิทัลรายเดิมจะไม่ได้รับผลกระทบทันที เนื่องจากมีบทเฉพาะกาลรองรับสถานะเดิมไว้ก่อน</w:t>
      </w:r>
    </w:p>
    <w:p>
      <w:pPr>
        <w:pStyle w:val="Heading1"/>
      </w:pPr>
      <w:r>
        <w:t>6. Checklist สิ่งที่ฝ่ายไอที/กฎหมายต้องลงมือทำทันที</w:t>
      </w:r>
    </w:p>
    <w:p>
      <w:pPr>
        <w:pStyle w:val="ListNumber"/>
      </w:pPr>
      <w:r>
        <w:t>ติดตามการเผยแพร่ร่างกฎหมายฉบับเต็มและกฎหมายลูกทั้ง 26 ฉบับ เมื่อผ่านการตรวจของสำนักงานคณะกรรมการกฤษฎีกาอย่างเป็นทางการ</w:t>
      </w:r>
    </w:p>
    <w:p>
      <w:pPr>
        <w:pStyle w:val="ListNumber"/>
      </w:pPr>
      <w:r>
        <w:t>ประเมินว่าองค์กรอยู่ในข่าย 1 ใน 7 ประเภทผู้ให้บริการที่ต้องขึ้นทะเบียน/ขอใบอนุญาตหรือไม่</w:t>
      </w:r>
    </w:p>
    <w:p>
      <w:pPr>
        <w:pStyle w:val="ListNumber"/>
      </w:pPr>
      <w:r>
        <w:t>ทบทวนระบบสัญญาอัตโนมัติ/AI Agent ที่องค์กรใช้งานอยู่ ให้มีกลไกแจ้งผู้ใช้งานล่วงหน้าเพื่อรองรับหลัก "คาดหมายพฤติกรรมของระบบได้ตามสมควร"</w:t>
      </w:r>
    </w:p>
    <w:p>
      <w:pPr>
        <w:pStyle w:val="ListNumber"/>
      </w:pPr>
      <w:r>
        <w:t>ประสานฝ่ายกฎหมายเพื่อเตรียมความพร้อมด้านสัญญาและเอกสารตั๋วเงินอิเล็กทรอนิกส์ หากเกี่ยวข้องกับธุรกรรมทางการเงิน</w:t>
      </w:r>
    </w:p>
    <w:p>
      <w:pPr>
        <w:pStyle w:val="ListNumber"/>
      </w:pPr>
      <w:r>
        <w:t>ตรวจสอบระบบการเก็บรักษาข้อมูลและ log ให้สอดคล้องกับทั้ง PDPA และร่างกฎหมายฉบับนี้พร้อมกัน</w:t>
      </w:r>
    </w:p>
    <w:p>
      <w:pPr>
        <w:pStyle w:val="ListNumber"/>
      </w:pPr>
      <w:r>
        <w:t>มอบหมายผู้รับผิดชอบติดตามความคืบหน้าเมื่อร่างกฎหมายเข้าสู่กระบวนการรัฐสภา เพื่อประเมินผลกระทบเชิงลึกอีกครั้งก่อนบังคับใช้จริง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