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2026-10-12</w:t>
      </w:r>
    </w:p>
    <w:p>
      <w:r>
        <w:t>แหล่งอ้างอิง: https://www.rd.go.th/fileadmin/user_upload/kormor/newlaw/dc808.pdf</w:t>
      </w:r>
    </w:p>
    <w:p/>
    <w:p>
      <w:pPr>
        <w:pStyle w:val="Title"/>
      </w:pPr>
      <w:r>
        <w:t>พระราชกฤษฎีกาออกตามความในประมวลรัษฎากร ว่าด้วยการยกเว้นรัษฎากร (ฉบับที่ 808) พ.ศ. 2569</w:t>
      </w:r>
    </w:p>
    <w:p>
      <w:r>
        <w:t>สรุปและเปรียบเทียบสาระสำคัญกับพระราชกฤษฎีกา (ฉบับที่ 766) พ.ศ. 2566 สำหรับฝ่ายไอที ฝ่ายกฎหมาย/DPO และฝ่ายสื่อสารองค์กร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ฉบับที่ประกาศ</w:t>
            </w:r>
          </w:p>
        </w:tc>
        <w:tc>
          <w:tcPr>
            <w:tcW w:type="dxa" w:w="4320"/>
          </w:tcPr>
          <w:p>
            <w:r>
              <w:t>พระราชกฤษฎีกาออกตามความในประมวลรัษฎากร ว่าด้วยการยกเว้นรัษฎากร (ฉบับที่ 808) พ.ศ. 2569</w:t>
            </w:r>
          </w:p>
        </w:tc>
      </w:tr>
      <w:tr>
        <w:tc>
          <w:tcPr>
            <w:tcW w:type="dxa" w:w="4320"/>
          </w:tcPr>
          <w:p>
            <w:r>
              <w:t>ราชกิจจานุเบกษา</w:t>
            </w:r>
          </w:p>
        </w:tc>
        <w:tc>
          <w:tcPr>
            <w:tcW w:type="dxa" w:w="4320"/>
          </w:tcPr>
          <w:p>
            <w:r>
              <w:t>เล่ม 143 ตอนที่ 64 ก หน้า 4–9 วันที่ 12 ตุลาคม 2569 (ยืนยันจากตัวบทฉบับเต็ม)</w:t>
            </w:r>
          </w:p>
        </w:tc>
      </w:tr>
      <w:tr>
        <w:tc>
          <w:tcPr>
            <w:tcW w:type="dxa" w:w="4320"/>
          </w:tcPr>
          <w:p>
            <w:r>
              <w:t>ให้ไว้ ณ วันที่</w:t>
            </w:r>
          </w:p>
        </w:tc>
        <w:tc>
          <w:tcPr>
            <w:tcW w:type="dxa" w:w="4320"/>
          </w:tcPr>
          <w:p>
            <w:r>
              <w:t>12 ตุลาคม พ.ศ. 2569 เป็นปีที่ 11 ในรัชกาลปัจจุบัน</w:t>
            </w:r>
          </w:p>
        </w:tc>
      </w:tr>
      <w:tr>
        <w:tc>
          <w:tcPr>
            <w:tcW w:type="dxa" w:w="4320"/>
          </w:tcPr>
          <w:p>
            <w:r>
              <w:t>วันเริ่มบังคับใช้</w:t>
            </w:r>
          </w:p>
        </w:tc>
        <w:tc>
          <w:tcPr>
            <w:tcW w:type="dxa" w:w="4320"/>
          </w:tcPr>
          <w:p>
            <w:r>
              <w:t>ตั้งแต่วันถัดจากวันประกาศในราชกิจจานุเบกษาเป็นต้นไป คือ 13 ตุลาคม 2569 (มาตรา 2)</w:t>
            </w:r>
          </w:p>
        </w:tc>
      </w:tr>
      <w:tr>
        <w:tc>
          <w:tcPr>
            <w:tcW w:type="dxa" w:w="4320"/>
          </w:tcPr>
          <w:p>
            <w:r>
              <w:t>ผู้รับสนองพระบรมราชโองการ</w:t>
            </w:r>
          </w:p>
        </w:tc>
        <w:tc>
          <w:tcPr>
            <w:tcW w:type="dxa" w:w="4320"/>
          </w:tcPr>
          <w:p>
            <w:r>
              <w:t>นายอนุทิน ชาญวีรกูล นายกรัฐมนตรี ผู้รักษาการ: รัฐมนตรีว่าการกระทรวงการคลัง (มาตรา 8)</w:t>
            </w:r>
          </w:p>
        </w:tc>
      </w:tr>
      <w:tr>
        <w:tc>
          <w:tcPr>
            <w:tcW w:type="dxa" w:w="4320"/>
          </w:tcPr>
          <w:p>
            <w:r>
              <w:t>อำนาจในการตรา</w:t>
            </w:r>
          </w:p>
        </w:tc>
        <w:tc>
          <w:tcPr>
            <w:tcW w:type="dxa" w:w="4320"/>
          </w:tcPr>
          <w:p>
            <w:r>
              <w:t>มาตรา 3 (1) แห่งประมวลรัษฎากร ซึ่งแก้ไขโดย พ.ร.บ.แก้ไขเพิ่มเติมประมวลรัษฎากร (ฉบับที่ 10) พ.ศ. 2490</w:t>
            </w:r>
          </w:p>
        </w:tc>
      </w:tr>
      <w:tr>
        <w:tc>
          <w:tcPr>
            <w:tcW w:type="dxa" w:w="4320"/>
          </w:tcPr>
          <w:p>
            <w:r>
              <w:t>แหล่งที่พบ</w:t>
            </w:r>
          </w:p>
        </w:tc>
        <w:tc>
          <w:tcPr>
            <w:tcW w:type="dxa" w:w="4320"/>
          </w:tcPr>
          <w:p>
            <w:r>
              <w:t>เว็บกรมสรรพากร หมวดกฎหมายใหม่ (ลงเว็บ 14 ต.ค. 2569) ไฟล์ตัวบท dc808.pdf คือสำเนาจากราชกิจจานุเบกษา</w:t>
            </w:r>
          </w:p>
        </w:tc>
      </w:tr>
    </w:tbl>
    <w:p>
      <w:pPr>
        <w:pStyle w:val="Heading1"/>
      </w:pPr>
      <w:r>
        <w:t>2. วัตถุประสงค์และเหตุผลความจำเป็น</w:t>
      </w:r>
    </w:p>
    <w:p>
      <w:r>
        <w:t>หมายเหตุท้ายฉบับระบุเหตุผลว่า มาตรการภาษีเพื่อส่งเสริมการลงทุนในระบบภาษีอิเล็กทรอนิกส์ตาม พรฎ. (ฉบับที่ 766) พ.ศ. 2566 ใช้บังคับถึงวันที่ 31 ธันวาคม 2568 จึงต้องตราฉบับนี้เพื่อให้ภาคเอกชนพัฒนาระบบภาษีอิเล็กทรอนิกส์ได้อย่างต่อเนื่อง อำนวยความสะดวกและลดต้นทุนในการประกอบธุรกิจ และเพิ่มประสิทธิภาพการจัดเก็บภาษี</w:t>
      </w:r>
    </w:p>
    <w:p>
      <w:r>
        <w:t>ข้อยกเว้นให้แก่บริษัทหรือห้างหุ้นส่วนนิติบุคคลสำหรับรายจ่ายที่จ่ายไปตั้งแต่ 1 มกราคม 2569 ถึง 31 ธันวาคม 2570 เพื่อลงทุนในระบบจัดทำข้อมูลอิเล็กทรอนิกส์ ระบบรับข้อมูลอิเล็กทรอนิกส์ ระบบนำส่งภาษี และการใช้บริการผู้ให้บริการที่เกี่ยวข้อง</w:t>
      </w:r>
    </w:p>
    <w:p>
      <w:pPr>
        <w:pStyle w:val="Heading1"/>
      </w:pPr>
      <w:r>
        <w:t>3. ตารางเปรียบเทียบเชิงลึก (กฎหมายเดิม vs กฎหมายใหม่)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ประเด็น</w:t>
            </w:r>
          </w:p>
        </w:tc>
        <w:tc>
          <w:tcPr>
            <w:tcW w:type="dxa" w:w="2880"/>
          </w:tcPr>
          <w:p>
            <w:r>
              <w:t>เดิม: พรฎ. ฉบับที่ 766 พ.ศ. 2566</w:t>
            </w:r>
          </w:p>
        </w:tc>
        <w:tc>
          <w:tcPr>
            <w:tcW w:type="dxa" w:w="2880"/>
          </w:tcPr>
          <w:p>
            <w:r>
              <w:t>ใหม่: พรฎ. ฉบับที่ 808 พ.ศ. 2569</w:t>
            </w:r>
          </w:p>
        </w:tc>
      </w:tr>
      <w:tr>
        <w:tc>
          <w:tcPr>
            <w:tcW w:type="dxa" w:w="2880"/>
          </w:tcPr>
          <w:p>
            <w:r>
              <w:t>ราชกิจจานุเบกษา</w:t>
            </w:r>
          </w:p>
        </w:tc>
        <w:tc>
          <w:tcPr>
            <w:tcW w:type="dxa" w:w="2880"/>
          </w:tcPr>
          <w:p>
            <w:r>
              <w:t>เล่ม 140 ตอน 33 ก วันที่ 1 มิ.ย. 2566 (ให้ไว้ 31 พ.ค. 2566)</w:t>
            </w:r>
          </w:p>
        </w:tc>
        <w:tc>
          <w:tcPr>
            <w:tcW w:type="dxa" w:w="2880"/>
          </w:tcPr>
          <w:p>
            <w:r>
              <w:t>เล่ม 143 ตอน 64 ก วันที่ 12 ต.ค. 2569</w:t>
            </w:r>
          </w:p>
        </w:tc>
      </w:tr>
      <w:tr>
        <w:tc>
          <w:tcPr>
            <w:tcW w:type="dxa" w:w="2880"/>
          </w:tcPr>
          <w:p>
            <w:r>
              <w:t>ช่วงรายจ่ายที่ได้รับยกเว้น</w:t>
            </w:r>
          </w:p>
        </w:tc>
        <w:tc>
          <w:tcPr>
            <w:tcW w:type="dxa" w:w="2880"/>
          </w:tcPr>
          <w:p>
            <w:r>
              <w:t>1 ม.ค. 2566 – 31 ธ.ค. 2568</w:t>
            </w:r>
          </w:p>
        </w:tc>
        <w:tc>
          <w:tcPr>
            <w:tcW w:type="dxa" w:w="2880"/>
          </w:tcPr>
          <w:p>
            <w:r>
              <w:t>1 ม.ค. 2569 – 31 ธ.ค. 2570 (ต่อเวลา 2 ปี)</w:t>
            </w:r>
          </w:p>
        </w:tc>
      </w:tr>
      <w:tr>
        <w:tc>
          <w:tcPr>
            <w:tcW w:type="dxa" w:w="2880"/>
          </w:tcPr>
          <w:p>
            <w:r>
              <w:t>ผู้ได้สิทธิ</w:t>
            </w:r>
          </w:p>
        </w:tc>
        <w:tc>
          <w:tcPr>
            <w:tcW w:type="dxa" w:w="2880"/>
          </w:tcPr>
          <w:p>
            <w:r>
              <w:t>บริษัทหรือห้างหุ้นส่วนนิติบุคคล (มาตรา 4 และ 7) และผู้มีหน้าที่นำส่งภาษี (มาตรา 5)</w:t>
            </w:r>
          </w:p>
        </w:tc>
        <w:tc>
          <w:tcPr>
            <w:tcW w:type="dxa" w:w="2880"/>
          </w:tcPr>
          <w:p>
            <w:r>
              <w:t>เหมือนเดิม</w:t>
            </w:r>
          </w:p>
        </w:tc>
      </w:tr>
      <w:tr>
        <w:tc>
          <w:tcPr>
            <w:tcW w:type="dxa" w:w="2880"/>
          </w:tcPr>
          <w:p>
            <w:r>
              <w:t>อัตรายกเว้น</w:t>
            </w:r>
          </w:p>
        </w:tc>
        <w:tc>
          <w:tcPr>
            <w:tcW w:type="dxa" w:w="2880"/>
          </w:tcPr>
          <w:p>
            <w:r>
              <w:t>ยกเว้นภาษีเงินได้เท่ากับร้อยละ 100 ของรายจ่ายจริง ตามหลักเกณฑ์ที่อธิบดีประกาศกำหนด</w:t>
            </w:r>
          </w:p>
        </w:tc>
        <w:tc>
          <w:tcPr>
            <w:tcW w:type="dxa" w:w="2880"/>
          </w:tcPr>
          <w:p>
            <w:r>
              <w:t>เหมือนเดิม คือร้อยละ 100 ของรายจ่ายจริง</w:t>
            </w:r>
          </w:p>
        </w:tc>
      </w:tr>
      <w:tr>
        <w:tc>
          <w:tcPr>
            <w:tcW w:type="dxa" w:w="2880"/>
          </w:tcPr>
          <w:p>
            <w:r>
              <w:t>เงื่อนไขทรัพย์สิน (มาตรา 6)</w:t>
            </w:r>
          </w:p>
        </w:tc>
        <w:tc>
          <w:tcPr>
            <w:tcW w:type="dxa" w:w="2880"/>
          </w:tcPr>
          <w:p>
            <w:r>
              <w:t>ต้องได้มาและพร้อมใช้ภายใน 31 ธ.ค. 2568 ใช้ไม่น้อยกว่า 3 รอบบัญชี ไม่เคยผ่านการใช้งาน อยู่ในราชอาณาจักร</w:t>
            </w:r>
          </w:p>
        </w:tc>
        <w:tc>
          <w:tcPr>
            <w:tcW w:type="dxa" w:w="2880"/>
          </w:tcPr>
          <w:p>
            <w:r>
              <w:t>ปรับเป็นภายใน 31 ธ.ค. 2570 เงื่อนไขอื่นเหมือนเดิม</w:t>
            </w:r>
          </w:p>
        </w:tc>
      </w:tr>
      <w:tr>
        <w:tc>
          <w:tcPr>
            <w:tcW w:type="dxa" w:w="2880"/>
          </w:tcPr>
          <w:p>
            <w:r>
              <w:t>นิยามผู้ให้บริการ</w:t>
            </w:r>
          </w:p>
        </w:tc>
        <w:tc>
          <w:tcPr>
            <w:tcW w:type="dxa" w:w="2880"/>
          </w:tcPr>
          <w:p>
            <w:r>
              <w:t>แยกเป็น 'ผู้ให้บริการจัดทำข้อมูลอิเล็กทรอนิกส์' และ 'ผู้ให้บริการนำส่งข้อมูลอิเล็กทรอนิกส์'</w:t>
            </w:r>
          </w:p>
        </w:tc>
        <w:tc>
          <w:tcPr>
            <w:tcW w:type="dxa" w:w="2880"/>
          </w:tcPr>
          <w:p>
            <w:r>
              <w:t>รวมเป็น 'ผู้ให้บริการจัดทำหรือนำส่งข้อมูลอิเล็กทรอนิกส์' ซึ่งหมายถึงผู้ที่ได้รับมอบหมายและได้รับอนุญาตให้เชื่อมต่อระบบของกรมสรรพากรตามมาตรา 3 โสพส</w:t>
            </w:r>
          </w:p>
        </w:tc>
      </w:tr>
      <w:tr>
        <w:tc>
          <w:tcPr>
            <w:tcW w:type="dxa" w:w="2880"/>
          </w:tcPr>
          <w:p>
            <w:r>
              <w:t>รายจ่ายค่าบริการที่ยกเว้นตามมาตรา 7</w:t>
            </w:r>
          </w:p>
        </w:tc>
        <w:tc>
          <w:tcPr>
            <w:tcW w:type="dxa" w:w="2880"/>
          </w:tcPr>
          <w:p>
            <w:r>
              <w:t>(1) ค่าบริการผู้ให้บริการจัดทำหรือนำส่งข้อมูล ค่าบริการใบรับรองอิเล็กทรอนิกส์ ค่าพื้นที่เก็บข้อมูล (2) ค่าบริการผู้ให้บริการนำส่งเงินภาษี</w:t>
            </w:r>
          </w:p>
        </w:tc>
        <w:tc>
          <w:tcPr>
            <w:tcW w:type="dxa" w:w="2880"/>
          </w:tcPr>
          <w:p>
            <w:r>
              <w:t>คงรายการ (1) และ (2) และเพิ่ม (3) ค่าบริการตรวจประเมินระบบสารสนเทศ ค่าธรรมเนียมหรือค่าบริการอื่นที่เกี่ยวเนื่องที่จ่ายให้ สพธอ. เพื่อเป็นผู้ให้บริการจัดทำหรือนำส่งข้อมูลอิเล็กทรอนิกส์</w:t>
            </w:r>
          </w:p>
        </w:tc>
      </w:tr>
      <w:tr>
        <w:tc>
          <w:tcPr>
            <w:tcW w:type="dxa" w:w="2880"/>
          </w:tcPr>
          <w:p>
            <w:r>
              <w:t>บทกำหนดโทษ</w:t>
            </w:r>
          </w:p>
        </w:tc>
        <w:tc>
          <w:tcPr>
            <w:tcW w:type="dxa" w:w="2880"/>
          </w:tcPr>
          <w:p>
            <w:r>
              <w:t>ไม่มีโทษปรับหรือโทษอาญาในตัวพระราชกฤษฎีกา</w:t>
            </w:r>
          </w:p>
        </w:tc>
        <w:tc>
          <w:tcPr>
            <w:tcW w:type="dxa" w:w="2880"/>
          </w:tcPr>
          <w:p>
            <w:r>
              <w:t>ไม่มีโทษปรับหรือโทษอาญาในตัวพระราชกฤษฎีกา</w:t>
            </w:r>
          </w:p>
        </w:tc>
      </w:tr>
    </w:tbl>
    <w:p/>
    <w:p>
      <w:r>
        <w:t>สิ่งที่บัญญัติเพิ่มขึ้นมาใหม่ (Additions)</w:t>
      </w:r>
    </w:p>
    <w:p>
      <w:pPr>
        <w:pStyle w:val="ListBullet"/>
      </w:pPr>
      <w:r>
        <w:t>ต่ออายุสิทธิยกเว้นสำหรับรายจ่ายช่วง 1 ม.ค. 2569 – 31 ธ.ค. 2570 ซึ่งเดิมสิ้นสุด 31 ธ.ค. 2568</w:t>
      </w:r>
    </w:p>
    <w:p>
      <w:pPr>
        <w:pStyle w:val="ListBullet"/>
      </w:pPr>
      <w:r>
        <w:t>เพิ่มรายการรายจ่ายใหม่ตามมาตรา 7 (3) คือค่าบริการตรวจประเมินระบบสารสนเทศและค่าธรรมเนียมหรือค่าบริการอื่นที่จ่ายให้ สพธอ. เพื่อเป็นผู้ให้บริการจัดทำหรือนำส่งข้อมูลอิเล็กทรอนิกส์</w:t>
      </w:r>
    </w:p>
    <w:p>
      <w:pPr>
        <w:pStyle w:val="ListBullet"/>
      </w:pPr>
      <w:r>
        <w:t>รวมนิยามผู้ให้บริการจัดทำและนำส่งข้อมูลเป็นนิยามเดียว โดยอ้างอิงการได้รับอนุญาตให้เชื่อมต่อระบบกับกรมสรรพากร</w:t>
      </w:r>
    </w:p>
    <w:p>
      <w:r>
        <w:t>สิ่งที่ถูกยกเลิก ผ่อนปรน หรือข้อยกเว้น (Deletions)</w:t>
      </w:r>
    </w:p>
    <w:p>
      <w:pPr>
        <w:pStyle w:val="ListBullet"/>
      </w:pPr>
      <w:r>
        <w:t>ตัวบทไม่มีข้อความยกเลิกพระราชกฤษฎีกาฉบับที่ 766 โดยตรง แต่สิทธิตามฉบับที่ 766 ครอบคลุมรายจ่ายถึง 31 ธ.ค. 2568 ส่วนฉบับนี้ครอบคลุมรายจ่ายตั้งแต่ 1 ม.ค. 2569 จึงต่อเนื่องกันตามช่วงเวลา</w:t>
      </w:r>
    </w:p>
    <w:p>
      <w:pPr>
        <w:pStyle w:val="ListBullet"/>
      </w:pPr>
      <w:r>
        <w:t>ข้อยกเว้นยังไม่ใช้กับรายจ่ายของผู้ให้บริการจัดทำหรือนำส่งข้อมูลและผู้พัฒนาโปรแกรมที่ลงทุนเพื่อขายหรือให้บริการแก่บุคคลอื่น (มาตรา 4 วรรคสอง)</w:t>
      </w:r>
    </w:p>
    <w:p>
      <w:pPr>
        <w:pStyle w:val="ListBullet"/>
      </w:pPr>
      <w:r>
        <w:t>ไม่ครอบคลุมการซ่อมแซมให้คงสภาพเดิมตามมาตรา 65 ตรี (5) แห่งประมวลรัษฎากร</w:t>
      </w:r>
    </w:p>
    <w:p>
      <w:r>
        <w:t>บทกำหนดโทษและบทเฉพาะกาล</w:t>
      </w:r>
    </w:p>
    <w:p>
      <w:r>
        <w:t>ตัวพระราชกฤษฎีกาไม่มีโทษปรับหรือโทษอาญา และไม่มีบทเฉพาะกาล ผลของการไม่ปฏิบัติตามเงื่อนไขคือไม่ได้รับสิทธิยกเว้นภาษีส่วนนั้น หลักเกณฑ์ วิธีการ และเงื่อนไขรายละเอียดให้เป็นไปตามประกาศอธิบดีกรมสรรพากร ซึ่งผู้จัดทำยังไม่พบประกาศฉบับที่ออกตามพระราชกฤษฎีกาฉบับนี้ในการตรวจรอบนี้ จึงควรติดตามต่อ</w:t>
      </w:r>
    </w:p>
    <w:p>
      <w:r>
        <w:t>หมายเหตุ: สรุปจากตัวบทราชกิจจานุเบกษาที่อ่านครบทุกมาตราและหมายเหตุท้ายฉบับ เทียบกับตัวบท พรฎ. ฉบับที่ 766 ที่อ่านจากไฟล์ทางการของกรมสรรพากร ไม่ใช่คำแนะนำทางกฎหมาย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t>ประมวลรัษฎากร: เป็นกฎหมายแม่ ออกตามมาตรา 3 (1) และอ้างอิงมาตรา 65 ตรี (5), 65 ทวิ (2), 86/4, 86/5, 86/6, 86/9, 86/10, 105 ทวิ, 3 ปัณรส และ 3 โสพส</w:t>
      </w:r>
    </w:p>
    <w:p>
      <w:pPr>
        <w:pStyle w:val="ListBullet"/>
      </w:pPr>
      <w:r>
        <w:t>พระราชกฤษฎีกา (ฉบับที่ 766) พ.ศ. 2566: ฉบับเดิมที่ครอบคลุมรายจ่ายถึง 31 ธ.ค. 2568 ฉบับใหม่ต่อเนื่องไปอีกถึง 31 ธ.ค. 2570</w:t>
      </w:r>
    </w:p>
    <w:p>
      <w:pPr>
        <w:pStyle w:val="ListBullet"/>
      </w:pPr>
      <w:r>
        <w:t>กฎหมายธุรกรรมทางอิเล็กทรอนิกส์และ สพธอ. (ETDA): ตัวบทกล่าวถึงค่าตรวจประเมินและค่าธรรมเนียมที่จ่ายให้สำนักงานพัฒนาธุรกรรมทางอิเล็กทรอนิกส์เพื่อเป็นผู้ให้บริการ</w:t>
      </w:r>
    </w:p>
    <w:p>
      <w:pPr>
        <w:pStyle w:val="ListBullet"/>
      </w:pPr>
      <w:r>
        <w:t>PDPA พ.ศ. 2562 (ข้อสังเกตเชิงปฏิบัติ ไม่ได้ระบุในตัวบท): ระบบจัดเก็บใบกำกับภาษีและใบรับอิเล็กทรอนิกส์บนคลาวด์มีข้อมูลส่วนบุคคลของลูกค้า ผู้ใช้สิทธิยกเว้นควรตรวจสัญญาผู้ประมวลผลข้อมูลกับผู้ให้บริการพื้นที่เก็บข้อมูล</w:t>
      </w:r>
    </w:p>
    <w:p>
      <w:pPr>
        <w:pStyle w:val="ListBullet"/>
      </w:pPr>
      <w:r>
        <w:t>ประมวลกฎหมายแพ่งและพาณิชย์ (ข้อสังเกตเชิงปฏิบัติ): สัญญาจัดซื้อและสัญญาบริการระบบควรระบุรายการค่าใช้จ่ายให้แยกได้ชัดเจนสำหรับการพิสูจน์สิทธิ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t>หน้าที่และสิทธิใหม่ของบริษัทเทคโนโลยีและภาคธุรกิจ:</w:t>
      </w:r>
    </w:p>
    <w:p>
      <w:pPr>
        <w:pStyle w:val="ListBullet"/>
      </w:pPr>
      <w:r>
        <w:t>บริษัทและห้างหุ้นส่วนนิติบุคคลที่ลงทุนระบบ e-Tax Invoice และ e-Receipt ระบบรับข้อมูล ระบบนำส่งภาษี ซื้อซอฟต์แวร์หรืออุปกรณ์เก็บใบรับรองอิเล็กทรอนิกส์ได้สิทธิยกเว้นภาษีเงินได้เท่ากับร้อยละ 100 ของรายจ่ายจริงสำหรับรายจ่ายช่วง 2569–2570</w:t>
      </w:r>
    </w:p>
    <w:p>
      <w:pPr>
        <w:pStyle w:val="ListBullet"/>
      </w:pPr>
      <w:r>
        <w:t>ผู้ให้บริการจัดทำหรือนำส่งข้อมูลและผู้ให้บริการนำส่งภาษี: ลูกค้ามีแรงจูงใจใช้บริการมากขึ้น แต่รายจ่ายของผู้ให้บริการเองที่ลงทุนเพื่อขายหรือให้บริการผู้อื่นไม่ได้รับสิทธิ</w:t>
      </w:r>
    </w:p>
    <w:p>
      <w:pPr>
        <w:pStyle w:val="ListBullet"/>
      </w:pPr>
      <w:r>
        <w:t>ผู้ที่ต้องการเป็นผู้ให้บริการ: ค่าตรวจประเมินระบบสารสนเทศและค่าธรรมเนียมที่จ่ายให้ สพธอ. นับเป็นรายจ่ายที่ผู้ใช้บริการนำมาขอยกเว้นได้ตามมาตรา 7 (3)</w:t>
      </w:r>
    </w:p>
    <w:p>
      <w:r>
        <w:t>สิทธิและความคุ้มครองของประชาชน:</w:t>
      </w:r>
    </w:p>
    <w:p>
      <w:pPr>
        <w:pStyle w:val="ListBullet"/>
      </w:pPr>
      <w:r>
        <w:t>ประชาชนทั่วไปไม่ได้รับสิทธิตรง เพราะเป็นมาตรการภาษีนิติบุคคล แต่ได้ประโยชน์ทางอ้อมจากการที่ผู้ประกอบการออกใบกำกับภาษีและใบรับอิเล็กทรอนิกส์มากขึ้น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ฝ่ายบัญชีและภาษีตรวจว่ารายจ่ายระบบ e-Tax ของปี 2569 ที่จ่ายไปแล้วตั้งแต่ 1 ม.ค. 2569 เข้าเงื่อนไขมาตรา 4, 5 และ 7</w:t>
      </w:r>
    </w:p>
    <w:p>
      <w:pPr>
        <w:pStyle w:val="ListNumber"/>
      </w:pPr>
      <w:r>
        <w:t>ฝ่ายไอทีจัดทำทะเบียนทรัพย์สินที่ซื้อ ระบุวันที่ได้มา วันที่พร้อมใช้ และวางแผนให้พร้อมใช้ภายใน 31 ธ.ค. 2570 และใช้ไม่น้อยกว่า 3 รอบบัญชี</w:t>
      </w:r>
    </w:p>
    <w:p>
      <w:pPr>
        <w:pStyle w:val="ListNumber"/>
      </w:pPr>
      <w:r>
        <w:t>แยกรายการค่าบริการผู้ให้บริการ ใบรับรองอิเล็กทรอนิกส์ พื้นที่เก็บข้อมูลคลาวด์ ค่านำส่งภาษี และค่าตรวจประเมินระบบไว้ในใบแจ้งหนี้และสัญญาให้ตรวจสอบย้อนหลังได้</w:t>
      </w:r>
    </w:p>
    <w:p>
      <w:pPr>
        <w:pStyle w:val="ListNumber"/>
      </w:pPr>
      <w:r>
        <w:t>ติดตามประกาศอธิบดีกรมสรรพากรที่กำหนดหลักเกณฑ์ วิธีการ และเงื่อนไขตามมาตรา 4, 5 และ 7 ก่อนยื่นขอใช้สิทธิ</w:t>
      </w:r>
    </w:p>
    <w:p>
      <w:pPr>
        <w:pStyle w:val="ListNumber"/>
      </w:pPr>
      <w:r>
        <w:t>ฝ่ายกฎหมายและ DPO ตรวจสัญญาผู้ให้บริการคลาวด์ที่เก็บใบกำกับภาษีอิเล็กทรอนิกส์ให้ครอบคลุมการคุ้มครองข้อมูลส่วนบุคค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