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วันที่ประกาศ: 2026-09-25</w:t>
      </w:r>
    </w:p>
    <w:p>
      <w:r>
        <w:t>แหล่งอ้างอิง: https://standard.dga.or.th/dgs-19-1-and-19-2-2569/</w:t>
      </w:r>
    </w:p>
    <w:p/>
    <w:p>
      <w:pPr>
        <w:pStyle w:val="Title"/>
      </w:pPr>
      <w:r>
        <w:t>มาตรฐานรัฐบาลดิจิทัล ว่าด้วยมาตรฐานการเชื่อมโยงและแลกเปลี่ยนข้อมูลภาครัฐ ด้านความหมายข้อมูล เรื่อง ข้อมูลบุคคล (DGS 9-1:2569)</w:t>
      </w:r>
    </w:p>
    <w:p>
      <w:r>
        <w:t>สรุปและเปรียบเทียบสาระสำคัญของมาตรฐานรัฐบาลดิจิทัล มรด. 9-1:2569 (DGS 9-1:2569) ที่ยกระดับมาตรฐานข้อมูลอ้างอิงบุคคลเดิม (มสพร. 4-2565) ให้เป็นมาตรฐานข้อมูลบุคคลฉบับเต็มในกลุ่มมาตรฐานด้านความหมายข้อมูล (TGIX Semantic Standards)</w:t>
      </w:r>
    </w:p>
    <w:p>
      <w:pPr>
        <w:pStyle w:val="Heading1"/>
      </w:pPr>
      <w:r>
        <w:t>1. ข้อมูลการประกาศจากแหล่งต้นทาง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ประกาศโดย</w:t>
            </w:r>
          </w:p>
        </w:tc>
        <w:tc>
          <w:tcPr>
            <w:tcW w:type="dxa" w:w="4320"/>
          </w:tcPr>
          <w:p>
            <w:r>
              <w:t>คณะกรรมการพัฒนารัฐบาลดิจิทัล โดยสำนักงานพัฒนารัฐบาลดิจิทัล (องค์การมหาชน) (DGA)</w:t>
            </w:r>
          </w:p>
        </w:tc>
      </w:tr>
      <w:tr>
        <w:tc>
          <w:tcPr>
            <w:tcW w:type="dxa" w:w="4320"/>
          </w:tcPr>
          <w:p>
            <w:r>
              <w:t>เลขที่มาตรฐาน</w:t>
            </w:r>
          </w:p>
        </w:tc>
        <w:tc>
          <w:tcPr>
            <w:tcW w:type="dxa" w:w="4320"/>
          </w:tcPr>
          <w:p>
            <w:r>
              <w:t>มรด. 9-1:2569 (DGS 9-1:2569)</w:t>
            </w:r>
          </w:p>
        </w:tc>
      </w:tr>
      <w:tr>
        <w:tc>
          <w:tcPr>
            <w:tcW w:type="dxa" w:w="4320"/>
          </w:tcPr>
          <w:p>
            <w:r>
              <w:t>ชื่อมาตรฐาน</w:t>
            </w:r>
          </w:p>
        </w:tc>
        <w:tc>
          <w:tcPr>
            <w:tcW w:type="dxa" w:w="4320"/>
          </w:tcPr>
          <w:p>
            <w:r>
              <w:t>มาตรฐานการเชื่อมโยงและแลกเปลี่ยนข้อมูลภาครัฐ ด้านความหมายข้อมูล เรื่อง ข้อมูลบุคคล</w:t>
            </w:r>
          </w:p>
        </w:tc>
      </w:tr>
      <w:tr>
        <w:tc>
          <w:tcPr>
            <w:tcW w:type="dxa" w:w="4320"/>
          </w:tcPr>
          <w:p>
            <w:r>
              <w:t>วันที่ลงนามประกาศ</w:t>
            </w:r>
          </w:p>
        </w:tc>
        <w:tc>
          <w:tcPr>
            <w:tcW w:type="dxa" w:w="4320"/>
          </w:tcPr>
          <w:p>
            <w:r>
              <w:t>15 กันยายน 2569</w:t>
            </w:r>
          </w:p>
        </w:tc>
      </w:tr>
      <w:tr>
        <w:tc>
          <w:tcPr>
            <w:tcW w:type="dxa" w:w="4320"/>
          </w:tcPr>
          <w:p>
            <w:r>
              <w:t>วันที่ประกาศในราชกิจจานุเบกษา</w:t>
            </w:r>
          </w:p>
        </w:tc>
        <w:tc>
          <w:tcPr>
            <w:tcW w:type="dxa" w:w="4320"/>
          </w:tcPr>
          <w:p>
            <w:r>
              <w:t>25 กันยายน 2569</w:t>
            </w:r>
          </w:p>
        </w:tc>
      </w:tr>
      <w:tr>
        <w:tc>
          <w:tcPr>
            <w:tcW w:type="dxa" w:w="4320"/>
          </w:tcPr>
          <w:p>
            <w:r>
              <w:t>หน่วยงานเจ้าของข้อมูล (Data Owner)</w:t>
            </w:r>
          </w:p>
        </w:tc>
        <w:tc>
          <w:tcPr>
            <w:tcW w:type="dxa" w:w="4320"/>
          </w:tcPr>
          <w:p>
            <w:r>
              <w:t>กรมการปกครอง กระทรวงมหาดไทย</w:t>
            </w:r>
          </w:p>
        </w:tc>
      </w:tr>
      <w:tr>
        <w:tc>
          <w:tcPr>
            <w:tcW w:type="dxa" w:w="4320"/>
          </w:tcPr>
          <w:p>
            <w:r>
              <w:t>แหล่งที่มา</w:t>
            </w:r>
          </w:p>
        </w:tc>
        <w:tc>
          <w:tcPr>
            <w:tcW w:type="dxa" w:w="4320"/>
          </w:tcPr>
          <w:p>
            <w:r>
              <w:t>https://standard.dga.or.th/dgs-19-1-and-19-2-2569/</w:t>
            </w:r>
          </w:p>
        </w:tc>
      </w:tr>
    </w:tbl>
    <w:p/>
    <w:p>
      <w:pPr>
        <w:pStyle w:val="Heading1"/>
      </w:pPr>
      <w:r>
        <w:t>2. วัตถุประสงค์และเหตุผลความจำเป็น</w:t>
      </w:r>
    </w:p>
    <w:p>
      <w:r>
        <w:t>มาตรฐานฉบับนี้จัดทำขึ้นภายใต้กรอบมาตรฐานการเชื่อมโยงและแลกเปลี่ยนข้อมูลภาครัฐด้านความหมายข้อมูล (Thailand Government Information Exchange: TGIX Semantic Standards) ตามพระราชบัญญัติการบริหารงานและการให้บริการภาครัฐผ่านระบบดิจิทัล พ.ศ. 2562 เพื่อกำหนดโครงสร้างข้อมูล คำอธิบายข้อมูล (Data Description) สคีมา (Schema) และรูปแบบข้อความแลกเปลี่ยนข้อมูล (XML/JSON) สำหรับ "ข้อมูลบุคคล" (Person) ซึ่งเป็นข้อมูลอ้างอิงหลัก (Core Data) ที่หน่วยงานภาครัฐใช้ร่วมกันในการพิสูจน์และยืนยันตัวบุคคล โดยอ้างอิงจากข้อมูลทะเบียนราษฎรของกรมการปกครอง เพื่อยกระดับจากมาตรฐานข้อมูลอ้างอิงทั่วไปเดิม (มสพร. 4-2565) ที่ครอบคลุมเฉพาะ ข้อมูลอ้างอิงระดับพื้นฐาน ให้เป็นมาตรฐานข้อมูลบุคคลฉบับเต็มที่หน่วยงานรัฐนำไปใช้เชื่อมโยงและแลกเปลี่ยนข้อมูลระหว่างกันได้โดยตรง ลดความซ้ำซ้อนในการเก็บข้อมูล และเพิ่มความสามารถในการทำงานร่วมกัน (Interoperability) ของระบบสารสนเทศภาครัฐ</w:t>
      </w:r>
    </w:p>
    <w:p>
      <w:pPr>
        <w:pStyle w:val="Heading1"/>
      </w:pPr>
      <w:r>
        <w:t>3. ตารางเปรียบเทียบเชิงลึก (มาตรฐาน/แนวทางเดิม vs มาตรฐานใหม่)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ประเด็น</w:t>
            </w:r>
          </w:p>
        </w:tc>
        <w:tc>
          <w:tcPr>
            <w:tcW w:type="dxa" w:w="2880"/>
          </w:tcPr>
          <w:p>
            <w:r>
              <w:t>เดิม</w:t>
            </w:r>
          </w:p>
        </w:tc>
        <w:tc>
          <w:tcPr>
            <w:tcW w:type="dxa" w:w="2880"/>
          </w:tcPr>
          <w:p>
            <w:r>
              <w:t>ใหม่ (มาตรฐานฉบับนี้)</w:t>
            </w:r>
          </w:p>
        </w:tc>
      </w:tr>
      <w:tr>
        <w:tc>
          <w:tcPr>
            <w:tcW w:type="dxa" w:w="2880"/>
          </w:tcPr>
          <w:p>
            <w:r>
              <w:t>สถานะมาตรฐาน</w:t>
            </w:r>
          </w:p>
        </w:tc>
        <w:tc>
          <w:tcPr>
            <w:tcW w:type="dxa" w:w="2880"/>
          </w:tcPr>
          <w:p>
            <w:r>
              <w:t>มสพร. 4-2565 (ประกาศใช้ 18 เม.ย. 2565) กำหนดเฉพาะกรอบมาตรฐานข้อมูลอ้างอิงทั่วไประดับต้น</w:t>
            </w:r>
          </w:p>
        </w:tc>
        <w:tc>
          <w:tcPr>
            <w:tcW w:type="dxa" w:w="2880"/>
          </w:tcPr>
          <w:p>
            <w:r>
              <w:t>DGS 9-1:2569 ยกระดับเป็นมาตรฐานข้อมูลบุคคลฉบับเต็ม พร้อมสคีมา XML/JSON และตัวอย่าง Response Message ครบชุด</w:t>
            </w:r>
          </w:p>
        </w:tc>
      </w:tr>
      <w:tr>
        <w:tc>
          <w:tcPr>
            <w:tcW w:type="dxa" w:w="2880"/>
          </w:tcPr>
          <w:p>
            <w:r>
              <w:t>ขอบเขตข้อมูล</w:t>
            </w:r>
          </w:p>
        </w:tc>
        <w:tc>
          <w:tcPr>
            <w:tcW w:type="dxa" w:w="2880"/>
          </w:tcPr>
          <w:p>
            <w:r>
              <w:t>ยังไม่ระบุองค์ประกอบย่อยของข้อมูลบุคคลอย่างครบถ้วน</w:t>
            </w:r>
          </w:p>
        </w:tc>
        <w:tc>
          <w:tcPr>
            <w:tcW w:type="dxa" w:w="2880"/>
          </w:tcPr>
          <w:p>
            <w:r>
              <w:t>กำหนดองค์ประกอบย่อยครบ 7 รายการ ได้แก่ ข้อมูลบุคคล ประเภทชื่อบุคคล คำนำหน้าชื่อ เพศ สัญชาติ ศาสนา และสถานะบุคคล</w:t>
            </w:r>
          </w:p>
        </w:tc>
      </w:tr>
      <w:tr>
        <w:tc>
          <w:tcPr>
            <w:tcW w:type="dxa" w:w="2880"/>
          </w:tcPr>
          <w:p>
            <w:r>
              <w:t>พจนานุกรมข้อมูล (Data Dictionary)</w:t>
            </w:r>
          </w:p>
        </w:tc>
        <w:tc>
          <w:tcPr>
            <w:tcW w:type="dxa" w:w="2880"/>
          </w:tcPr>
          <w:p>
            <w:r>
              <w:t>ไม่มีพจนานุกรมข้อมูลละเอียดระดับ Element</w:t>
            </w:r>
          </w:p>
        </w:tc>
        <w:tc>
          <w:tcPr>
            <w:tcW w:type="dxa" w:w="2880"/>
          </w:tcPr>
          <w:p>
            <w:r>
              <w:t>กำหนดพจนานุกรมข้อมูลครบทุกฟิลด์ พร้อม Multiplicity, Format และ Reference Type</w:t>
            </w:r>
          </w:p>
        </w:tc>
      </w:tr>
      <w:tr>
        <w:tc>
          <w:tcPr>
            <w:tcW w:type="dxa" w:w="2880"/>
          </w:tcPr>
          <w:p>
            <w:r>
              <w:t>รูปแบบการแลกเปลี่ยนข้อมูล</w:t>
            </w:r>
          </w:p>
        </w:tc>
        <w:tc>
          <w:tcPr>
            <w:tcW w:type="dxa" w:w="2880"/>
          </w:tcPr>
          <w:p>
            <w:r>
              <w:t>ไม่ได้กำหนดรูปแบบเมสเสจมาตรฐานไว้ชัดเจน</w:t>
            </w:r>
          </w:p>
        </w:tc>
        <w:tc>
          <w:tcPr>
            <w:tcW w:type="dxa" w:w="2880"/>
          </w:tcPr>
          <w:p>
            <w:r>
              <w:t>กำหนดสคีมา XML Schema (XSD) และตัวอย่างข้อความตอบกลับทั้งรูปแบบ XML และ JSON</w:t>
            </w:r>
          </w:p>
        </w:tc>
      </w:tr>
      <w:tr>
        <w:tc>
          <w:tcPr>
            <w:tcW w:type="dxa" w:w="2880"/>
          </w:tcPr>
          <w:p>
            <w:r>
              <w:t>หน่วยงานเจ้าของข้อมูลอ้างอิง</w:t>
            </w:r>
          </w:p>
        </w:tc>
        <w:tc>
          <w:tcPr>
            <w:tcW w:type="dxa" w:w="2880"/>
          </w:tcPr>
          <w:p>
            <w:r>
              <w:t>อ้างอิงข้อมูลทะเบียนราษฎรโดยทั่วไป</w:t>
            </w:r>
          </w:p>
        </w:tc>
        <w:tc>
          <w:tcPr>
            <w:tcW w:type="dxa" w:w="2880"/>
          </w:tcPr>
          <w:p>
            <w:r>
              <w:t>ระบุชัดเจนว่ากรมการปกครอง กระทรวงมหาดไทย เป็นเจ้าของข้อมูล (Data Owner)</w:t>
            </w:r>
          </w:p>
        </w:tc>
      </w:tr>
    </w:tbl>
    <w:p/>
    <w:p>
      <w:r>
        <w:t xml:space="preserve">หมายเหตุ: </w:t>
      </w:r>
    </w:p>
    <w:p>
      <w:r>
        <w:t>มาตรฐานฉบับนี้ไม่ใช่กฎหมายที่มีบทลงโทษทางอาญาต่อประชาชนหรือภาคเอกชนโดยตรง แต่เป็นมาตรฐานทางเทคนิคที่หน่วยงานภาครัฐต้องถือปฏิบัติ เมื่อเชื่อมโยงและแลกเปลี่ยนข้อมูลบุคคลผ่านศูนย์แลกเปลี่ยนข้อมูลกลางตามพระราชบัญญัติการบริหารงานและการให้บริการภาครัฐผ่านระบบดิจิทัล พ.ศ. 2562 หน่วยงานของรัฐสามารถนำมาตรฐานนี้ไปปรับใช้ภายในหน่วยงานได้โดยไม่มีข้อห้ามใด ๆ แต่โครงสร้างข้อมูลที่กำหนดในมาตรฐานนี้เป็นเพียงข้อกำหนดของชื่อข้อมูล สำหรับการแลกเปลี่ยนเท่านั้น มิได้บังคับให้หน่วยงานผู้ให้บริการข้อมูล (Data Provider) ต้องให้บริการข้อมูลครบทุกแอตทริบิวต์</w:t>
      </w:r>
    </w:p>
    <w:p>
      <w:pPr>
        <w:pStyle w:val="Heading1"/>
      </w:pPr>
      <w:r>
        <w:t>4. การบูรณาการกับกฎหมายอื่น</w:t>
      </w:r>
    </w:p>
    <w:p>
      <w:pPr>
        <w:pStyle w:val="ListBullet"/>
      </w:pPr>
      <w:r>
        <w:t>พระราชบัญญัติการบริหารงานและการให้บริการภาครัฐผ่านระบบดิจิทัล พ.ศ. 2562 มาตรา 13, 15 และ 19: กำหนดให้หน่วยงานรัฐเชื่อมโยงและแลกเปลี่ยนข้อมูลดิจิทัลผ่านศูนย์แลกเปลี่ยนข้อมูลกลาง และให้ DGA จัดทำมาตรฐานกลางด้านนี้</w:t>
      </w:r>
    </w:p>
    <w:p>
      <w:pPr>
        <w:pStyle w:val="ListBullet"/>
      </w:pPr>
      <w:r>
        <w:t>พระราชบัญญัติคุ้มครองข้อมูลส่วนบุคคล พ.ศ. 2562 (PDPA): ข้อมูลบุคคลตามมาตรฐานนี้เป็นข้อมูลส่วนบุคคล หน่วยงานที่เชื่อมโยงข้อมูลต้องปฏิบัติตามฐานทางกฎหมายและมาตรการคุ้มครองข้อมูลตาม PDPA ควบคู่กันไป</w:t>
      </w:r>
    </w:p>
    <w:p>
      <w:pPr>
        <w:pStyle w:val="ListBullet"/>
      </w:pPr>
      <w:r>
        <w:t>พระราชบัญญัติการทะเบียนราษฎร พ.ศ. 2534 และกฎกระทรวง/ระเบียบที่เกี่ยวข้อง: เป็นที่มาของข้อมูลต้นทางที่กรมการปกครองเป็นเจ้าของและดูแล</w:t>
      </w:r>
    </w:p>
    <w:p>
      <w:pPr>
        <w:pStyle w:val="ListBullet"/>
      </w:pPr>
      <w:r>
        <w:t>พระราชบัญญัติชื่อบุคคล พ.ศ. 2505, พระราชบัญญัติคำนำหน้านามหญิง พ.ศ. 2551 และพระราชบัญญัติสัญชาติ พ.ศ. 2508: เป็นฐานกฎหมายของข้อมูลย่อยด้านชื่อ คำนำหน้าชื่อ และสัญชาติที่ระบุในมาตรฐาน</w:t>
      </w:r>
    </w:p>
    <w:p>
      <w:pPr>
        <w:pStyle w:val="ListBullet"/>
      </w:pPr>
      <w:r>
        <w:t>มาตรฐาน มสพร. 4-2565 (มาตรฐานข้อมูลอ้างอิงทั่วไปเดิม): เป็นมาตรฐานฉบับก่อนหน้าที่ DGS 9-1:2569 พัฒนาต่อยอดและยกระดับให้ครบถ้วนยิ่งขึ้น</w:t>
      </w:r>
    </w:p>
    <w:p>
      <w:pPr>
        <w:pStyle w:val="Heading1"/>
      </w:pPr>
      <w:r>
        <w:t>5. ผลกระทบต่อภาคธุรกิจและบุคคล</w:t>
      </w:r>
    </w:p>
    <w:p>
      <w:r>
        <w:t>หน้าที่ใหม่ของหน่วยงานภาครัฐ/ผู้พัฒนาระบบ:</w:t>
      </w:r>
    </w:p>
    <w:p>
      <w:pPr>
        <w:pStyle w:val="ListBullet"/>
      </w:pPr>
      <w:r>
        <w:t>หน่วยงานรัฐที่พัฒนาระบบเชื่อมโยงข้อมูลบุคคล (Data Provider/Data Consumer) ต้องปรับปรุง API/เว็บเซอร์วิสให้สอดคล้องกับสคีมาและพจนานุกรมข้อมูลตามมาตรฐาน DGS 9-1:2569</w:t>
      </w:r>
    </w:p>
    <w:p>
      <w:pPr>
        <w:pStyle w:val="ListBullet"/>
      </w:pPr>
      <w:r>
        <w:t>ผู้พัฒนาระบบสารสนเทศภาครัฐที่ต้องการเชื่อมโยงข้อมูลบุคคลกับกรมการปกครองหรือหน่วยงานอื่น ควรออกแบบโครงสร้างข้อมูลให้รองรับทั้งรูปแบบ XML และ JSON ตามตัวอย่าง Response Message ที่กำหนด</w:t>
      </w:r>
    </w:p>
    <w:p>
      <w:pPr>
        <w:pStyle w:val="ListBullet"/>
      </w:pPr>
      <w:r>
        <w:t>หน่วยงานที่นำมาตรฐานไปใช้ภายในองค์กรต้องกำหนดลำดับชั้นความลับของข้อมูล (Data Confidentiality) ให้สอดคล้องกับระดับที่มาตรฐานกำหนด (ลับที่สุด/ลับมาก/ลับ/ควบคุม/เปิดเผย)</w:t>
      </w:r>
    </w:p>
    <w:p>
      <w:r>
        <w:t>สิทธิและความคุ้มครองของประชาชน/เจ้าของข้อมูล:</w:t>
      </w:r>
    </w:p>
    <w:p>
      <w:pPr>
        <w:pStyle w:val="ListBullet"/>
      </w:pPr>
      <w:r>
        <w:t>ประชาชนจะได้รับบริการภาครัฐที่สะดวกและรวดเร็วขึ้น เนื่องจากหน่วยงานต่าง ๆ สามารถแลกเปลี่ยนข้อมูลบุคคลระหว่างกันได้โดยไม่ต้องให้ประชาชนกรอกข้อมูลซ้ำ</w:t>
      </w:r>
    </w:p>
    <w:p>
      <w:pPr>
        <w:pStyle w:val="ListBullet"/>
      </w:pPr>
      <w:r>
        <w:t>ข้อมูลส่วนบุคคลที่เชื่อมโยงผ่านมาตรฐานนี้ยังคงอยู่ภายใต้ความคุ้มครองตาม PDPA เจ้าของข้อมูลยังมีสิทธิตามกฎหมายคุ้มครองข้อมูลส่วนบุคคลตามปกติ</w:t>
      </w:r>
    </w:p>
    <w:p>
      <w:pPr>
        <w:pStyle w:val="Heading1"/>
      </w:pPr>
      <w:r>
        <w:t>6. Checklist สิ่งที่ฝ่ายไอที/กฎหมายต้องลงมือทำทันที</w:t>
      </w:r>
    </w:p>
    <w:p>
      <w:pPr>
        <w:pStyle w:val="ListNumber"/>
      </w:pPr>
      <w:r>
        <w:t>ตรวจสอบว่าระบบสารสนเทศของหน่วยงานมีการแลกเปลี่ยนข้อมูลบุคคลกับหน่วยงานอื่นหรือไม่ และประเมินความจำเป็นในการปรับโครงสร้างข้อมูลให้สอดคล้องกับ DGS 9-1:2569</w:t>
      </w:r>
    </w:p>
    <w:p>
      <w:pPr>
        <w:pStyle w:val="ListNumber"/>
      </w:pPr>
      <w:r>
        <w:t>ดาวน์โหลดเอกสารมาตรฐานฉบับเต็มและไฟล์ XML Schema (XSD) จาก standard.dga.or.th เพื่อใช้เป็นข้อกำหนดทางเทคนิคของทีมพัฒนา</w:t>
      </w:r>
    </w:p>
    <w:p>
      <w:pPr>
        <w:pStyle w:val="ListNumber"/>
      </w:pPr>
      <w:r>
        <w:t>ทบทวนมาตรการคุ้มครองข้อมูลส่วนบุคคล (PDPA) ของระบบที่จะเชื่อมโยงข้อมูลบุคคลตามมาตรฐานนี้ ให้มีฐานทางกฎหมายและมาตรการรักษาความปลอดภัยที่เพียงพอ</w:t>
      </w:r>
    </w:p>
    <w:p>
      <w:pPr>
        <w:pStyle w:val="ListNumber"/>
      </w:pPr>
      <w:r>
        <w:t>ประสานงานกับศูนย์แลกเปลี่ยนข้อมูลกลาง (GDX) และกรมการปกครองในกรณีที่ต้องขอเชื่อมโยงข้อมูลบุคคลจากทะเบียนราษฎร</w:t>
      </w:r>
    </w:p>
    <w:p>
      <w:pPr>
        <w:pStyle w:val="ListNumber"/>
      </w:pPr>
      <w:r>
        <w:t>มอบหมายผู้รับผิดชอบติดตามประกาศมาตรฐานที่เกี่ยวข้องในกลุ่มเดียวกัน (TGIX Semantic Standards) ที่ DGA อาจประกาศเพิ่มเติมในอนาคต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arabun" w:hAnsi="Sarabun" w:eastAsia="Sarab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