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2026-09-25</w:t>
      </w:r>
    </w:p>
    <w:p>
      <w:r>
        <w:t>แหล่งอ้างอิง: https://standard.dga.or.th/dgs-19-1-and-19-2-2569/</w:t>
      </w:r>
    </w:p>
    <w:p/>
    <w:p>
      <w:pPr>
        <w:pStyle w:val="Title"/>
      </w:pPr>
      <w:r>
        <w:t>มาตรฐานรัฐบาลดิจิทัล ว่าด้วยมาตรฐานการเชื่อมโยงและแลกเปลี่ยนข้อมูลภาครัฐ ด้านความหมายข้อมูล เรื่อง ข้อมูลนิติบุคคล (DGS 9-2:2569)</w:t>
      </w:r>
    </w:p>
    <w:p>
      <w:r>
        <w:t>สรุปและเปรียบเทียบสาระสำคัญของมาตรฐานรัฐบาลดิจิทัล มรด. 9-2:2569 (DGS 9-2:2569) มาตรฐานใหม่ด้านการเชื่อมโยงและแลกเปลี่ยนข้อมูลนิติบุคคล อ้างอิงจากข้อมูลกรมพัฒนาธุรกิจการค้า ในกลุ่มมาตรฐานด้านความหมายข้อมูล (TGIX Semantic Standards)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ประกาศโดย</w:t>
            </w:r>
          </w:p>
        </w:tc>
        <w:tc>
          <w:tcPr>
            <w:tcW w:type="dxa" w:w="4320"/>
          </w:tcPr>
          <w:p>
            <w:r>
              <w:t>คณะกรรมการพัฒนารัฐบาลดิจิทัล โดยสำนักงานพัฒนารัฐบาลดิจิทัล (องค์การมหาชน) (DGA)</w:t>
            </w:r>
          </w:p>
        </w:tc>
      </w:tr>
      <w:tr>
        <w:tc>
          <w:tcPr>
            <w:tcW w:type="dxa" w:w="4320"/>
          </w:tcPr>
          <w:p>
            <w:r>
              <w:t>เลขที่มาตรฐาน</w:t>
            </w:r>
          </w:p>
        </w:tc>
        <w:tc>
          <w:tcPr>
            <w:tcW w:type="dxa" w:w="4320"/>
          </w:tcPr>
          <w:p>
            <w:r>
              <w:t>มรด. 9-2:2569 (DGS 9-2:2569)</w:t>
            </w:r>
          </w:p>
        </w:tc>
      </w:tr>
      <w:tr>
        <w:tc>
          <w:tcPr>
            <w:tcW w:type="dxa" w:w="4320"/>
          </w:tcPr>
          <w:p>
            <w:r>
              <w:t>ชื่อมาตรฐาน</w:t>
            </w:r>
          </w:p>
        </w:tc>
        <w:tc>
          <w:tcPr>
            <w:tcW w:type="dxa" w:w="4320"/>
          </w:tcPr>
          <w:p>
            <w:r>
              <w:t>มาตรฐานการเชื่อมโยงและแลกเปลี่ยนข้อมูลภาครัฐ ด้านความหมายข้อมูล เรื่อง ข้อมูลนิติบุคคล</w:t>
            </w:r>
          </w:p>
        </w:tc>
      </w:tr>
      <w:tr>
        <w:tc>
          <w:tcPr>
            <w:tcW w:type="dxa" w:w="4320"/>
          </w:tcPr>
          <w:p>
            <w:r>
              <w:t>วันที่ลงนามประกาศ</w:t>
            </w:r>
          </w:p>
        </w:tc>
        <w:tc>
          <w:tcPr>
            <w:tcW w:type="dxa" w:w="4320"/>
          </w:tcPr>
          <w:p>
            <w:r>
              <w:t>15 กันยายน 2569</w:t>
            </w:r>
          </w:p>
        </w:tc>
      </w:tr>
      <w:tr>
        <w:tc>
          <w:tcPr>
            <w:tcW w:type="dxa" w:w="4320"/>
          </w:tcPr>
          <w:p>
            <w:r>
              <w:t>วันที่ประกาศในราชกิจจานุเบกษา</w:t>
            </w:r>
          </w:p>
        </w:tc>
        <w:tc>
          <w:tcPr>
            <w:tcW w:type="dxa" w:w="4320"/>
          </w:tcPr>
          <w:p>
            <w:r>
              <w:t>25 กันยายน 2569</w:t>
            </w:r>
          </w:p>
        </w:tc>
      </w:tr>
      <w:tr>
        <w:tc>
          <w:tcPr>
            <w:tcW w:type="dxa" w:w="4320"/>
          </w:tcPr>
          <w:p>
            <w:r>
              <w:t>หน่วยงานเจ้าของข้อมูล (Data Owner)</w:t>
            </w:r>
          </w:p>
        </w:tc>
        <w:tc>
          <w:tcPr>
            <w:tcW w:type="dxa" w:w="4320"/>
          </w:tcPr>
          <w:p>
            <w:r>
              <w:t>กรมพัฒนาธุรกิจการค้า กระทรวงพาณิชย์</w:t>
            </w:r>
          </w:p>
        </w:tc>
      </w:tr>
      <w:tr>
        <w:tc>
          <w:tcPr>
            <w:tcW w:type="dxa" w:w="4320"/>
          </w:tcPr>
          <w:p>
            <w:r>
              <w:t>แหล่งที่มา</w:t>
            </w:r>
          </w:p>
        </w:tc>
        <w:tc>
          <w:tcPr>
            <w:tcW w:type="dxa" w:w="4320"/>
          </w:tcPr>
          <w:p>
            <w:r>
              <w:t>https://standard.dga.or.th/dgs-19-1-and-19-2-2569/</w:t>
            </w:r>
          </w:p>
        </w:tc>
      </w:tr>
    </w:tbl>
    <w:p/>
    <w:p>
      <w:pPr>
        <w:pStyle w:val="Heading1"/>
      </w:pPr>
      <w:r>
        <w:t>2. วัตถุประสงค์และเหตุผลความจำเป็น</w:t>
      </w:r>
    </w:p>
    <w:p>
      <w:r>
        <w:t>มาตรฐานฉบับนี้จัดทำขึ้นภายใต้กรอบมาตรฐานการเชื่อมโยงและแลกเปลี่ยนข้อมูลภาครัฐด้านความหมายข้อมูล (TGIX Semantic Standards) ตามพระราชบัญญัติการบริหารงานและการให้บริการภาครัฐผ่านระบบดิจิทัล พ.ศ. 2562 เพื่อกำหนดโครงสร้างข้อมูล องค์ประกอบ และสคีมาสำหรับ "ข้อมูลนิติบุคคล" (Juristic Person) ซึ่งเป็นข้อมูลอ้างอิงหลัก (Core Data) ที่เกี่ยวพันกับกลุ่มข้อมูลด้านอื่นอย่างกว้างขวาง เช่น ด้านธุรกิจ ด้านเศรษฐกิจ โดยอ้างอิงจากข้อมูลนิติบุคคลของกรมพัฒนาธุรกิจการค้าเป็นต้นแบบในระยะแรก ครอบคลุมนิติบุคคล 4 ประเภท ได้แก่ ห้างหุ้นส่วนสามัญนิติบุคคล ห้างหุ้นส่วนจำกัด บริษัทจำกัด และบริษัทมหาชนจำกัด เพื่อให้หน่วยงานภาครัฐสามารถเชื่อมโยงและแลกเปลี่ยนข้อมูลนิติบุคคล ระหว่างกันได้อย่างถูกต้อง เป็นมาตรฐานเดียวกัน ลดภาระการขอเอกสารซ้ำซ้อนจากภาคธุรกิจ และวางรากฐานสำหรับการขยายไปสู่นิติบุคคลประเภทอื่นในอนาคต</w:t>
      </w:r>
    </w:p>
    <w:p>
      <w:pPr>
        <w:pStyle w:val="Heading1"/>
      </w:pPr>
      <w:r>
        <w:t>3. ตารางเปรียบเทียบเชิงลึก (มาตรฐาน/แนวทางเดิม vs มาตรฐานใหม่)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ประเด็น</w:t>
            </w:r>
          </w:p>
        </w:tc>
        <w:tc>
          <w:tcPr>
            <w:tcW w:type="dxa" w:w="2880"/>
          </w:tcPr>
          <w:p>
            <w:r>
              <w:t>เดิม</w:t>
            </w:r>
          </w:p>
        </w:tc>
        <w:tc>
          <w:tcPr>
            <w:tcW w:type="dxa" w:w="2880"/>
          </w:tcPr>
          <w:p>
            <w:r>
              <w:t>ใหม่ (มาตรฐานฉบับนี้)</w:t>
            </w:r>
          </w:p>
        </w:tc>
      </w:tr>
      <w:tr>
        <w:tc>
          <w:tcPr>
            <w:tcW w:type="dxa" w:w="2880"/>
          </w:tcPr>
          <w:p>
            <w:r>
              <w:t>สถานะมาตรฐาน</w:t>
            </w:r>
          </w:p>
        </w:tc>
        <w:tc>
          <w:tcPr>
            <w:tcW w:type="dxa" w:w="2880"/>
          </w:tcPr>
          <w:p>
            <w:r>
              <w:t>ไม่เคยมีมาตรฐานรัฐบาลดิจิทัลด้านความหมายข้อมูลสำหรับข้อมูลนิติบุคคลมาก่อน หน่วยงานต่างเชื่อมโยงข้อมูลกับ DBD ตามรูปแบบของตนเอง</w:t>
            </w:r>
          </w:p>
        </w:tc>
        <w:tc>
          <w:tcPr>
            <w:tcW w:type="dxa" w:w="2880"/>
          </w:tcPr>
          <w:p>
            <w:r>
              <w:t>DGS 9-2:2569 เป็นมาตรฐานกลางฉบับแรกที่กำหนดสคีมาข้อมูลนิติบุคคลสำหรับใช้ร่วมกันทั้งภาครัฐ</w:t>
            </w:r>
          </w:p>
        </w:tc>
      </w:tr>
      <w:tr>
        <w:tc>
          <w:tcPr>
            <w:tcW w:type="dxa" w:w="2880"/>
          </w:tcPr>
          <w:p>
            <w:r>
              <w:t>ขอบเขตข้อมูล</w:t>
            </w:r>
          </w:p>
        </w:tc>
        <w:tc>
          <w:tcPr>
            <w:tcW w:type="dxa" w:w="2880"/>
          </w:tcPr>
          <w:p>
            <w:r>
              <w:t>ไม่มีการนิยามองค์ประกอบข้อมูลนิติบุคคลเป็นมาตรฐานเดียวกัน</w:t>
            </w:r>
          </w:p>
        </w:tc>
        <w:tc>
          <w:tcPr>
            <w:tcW w:type="dxa" w:w="2880"/>
          </w:tcPr>
          <w:p>
            <w:r>
              <w:t>กำหนดองค์ประกอบ 7 กลุ่ม ได้แก่ ข้อมูลนิติบุคคล ประเภทนิติบุคคล สถานะนิติบุคคล วัตถุประสงค์ (อ้างอิง TSIC) กรรมการ/ผู้เป็นหุ้นส่วน งบการเงินอย่างย่อ และผู้ถือหุ้น</w:t>
            </w:r>
          </w:p>
        </w:tc>
      </w:tr>
      <w:tr>
        <w:tc>
          <w:tcPr>
            <w:tcW w:type="dxa" w:w="2880"/>
          </w:tcPr>
          <w:p>
            <w:r>
              <w:t>รูปแบบการแลกเปลี่ยนข้อมูล</w:t>
            </w:r>
          </w:p>
        </w:tc>
        <w:tc>
          <w:tcPr>
            <w:tcW w:type="dxa" w:w="2880"/>
          </w:tcPr>
          <w:p>
            <w:r>
              <w:t>ต่างหน่วยงานต่างกำหนดรูปแบบ API/ไฟล์เอง</w:t>
            </w:r>
          </w:p>
        </w:tc>
        <w:tc>
          <w:tcPr>
            <w:tcW w:type="dxa" w:w="2880"/>
          </w:tcPr>
          <w:p>
            <w:r>
              <w:t>กำหนดสคีมา XML Schema (XSD) พร้อมตัวอย่าง Response Message ทั้ง XML และ JSON และรูปแบบเพิ่มเติมสำหรับ API/เว็บ/อีเมล</w:t>
            </w:r>
          </w:p>
        </w:tc>
      </w:tr>
      <w:tr>
        <w:tc>
          <w:tcPr>
            <w:tcW w:type="dxa" w:w="2880"/>
          </w:tcPr>
          <w:p>
            <w:r>
              <w:t>ขอบเขตประเภทนิติบุคคล</w:t>
            </w:r>
          </w:p>
        </w:tc>
        <w:tc>
          <w:tcPr>
            <w:tcW w:type="dxa" w:w="2880"/>
          </w:tcPr>
          <w:p>
            <w:r>
              <w:t>ไม่ระบุขอบเขตชัดเจน</w:t>
            </w:r>
          </w:p>
        </w:tc>
        <w:tc>
          <w:tcPr>
            <w:tcW w:type="dxa" w:w="2880"/>
          </w:tcPr>
          <w:p>
            <w:r>
              <w:t>ระบุชัดเจนว่าครอบคลุมเฉพาะห้างหุ้นส่วนสามัญนิติบุคคล ห้างหุ้นส่วนจำกัด บริษัทจำกัด และบริษัทมหาชนจำกัด เท่านั้นในระยะแรก (จะขยายประเภทอื่นในอนาคต)</w:t>
            </w:r>
          </w:p>
        </w:tc>
      </w:tr>
      <w:tr>
        <w:tc>
          <w:tcPr>
            <w:tcW w:type="dxa" w:w="2880"/>
          </w:tcPr>
          <w:p>
            <w:r>
              <w:t>หน่วยงานเจ้าของข้อมูลอ้างอิง</w:t>
            </w:r>
          </w:p>
        </w:tc>
        <w:tc>
          <w:tcPr>
            <w:tcW w:type="dxa" w:w="2880"/>
          </w:tcPr>
          <w:p>
            <w:r>
              <w:t>ไม่ได้ระบุไว้เป็นมาตรฐานกลาง</w:t>
            </w:r>
          </w:p>
        </w:tc>
        <w:tc>
          <w:tcPr>
            <w:tcW w:type="dxa" w:w="2880"/>
          </w:tcPr>
          <w:p>
            <w:r>
              <w:t>ระบุชัดเจนว่ากรมพัฒนาธุรกิจการค้า กระทรวงพาณิชย์ เป็นเจ้าของข้อมูล (Data Owner)</w:t>
            </w:r>
          </w:p>
        </w:tc>
      </w:tr>
    </w:tbl>
    <w:p/>
    <w:p>
      <w:r>
        <w:t xml:space="preserve">หมายเหตุ: </w:t>
      </w:r>
    </w:p>
    <w:p>
      <w:r>
        <w:t>มาตรฐานฉบับนี้ไม่ใช่กฎหมายที่มีบทลงโทษทางอาญาต่อภาคธุรกิจโดยตรง แต่เป็นมาตรฐานทางเทคนิคที่หน่วยงานภาครัฐต้องถือปฏิบัติเมื่อเชื่อมโยงและแลกเปลี่ยนข้อมูลนิติบุคคล ผ่านศูนย์แลกเปลี่ยนข้อมูลกลางตามพระราชบัญญัติการบริหารงานและการให้บริการภาครัฐผ่านระบบดิจิทัล พ.ศ. 2562 โครงสร้างข้อมูลที่กำหนดเป็นเพียงข้อกำหนดชื่อข้อมูลสำหรับการแลกเปลี่ยน มิได้บังคับให้กรมพัฒนาธุรกิจการค้าหรือหน่วยงานผู้ให้บริการข้อมูลต้องเปิดเผยข้อมูลทุกแอตทริบิวต์ และยังต้องพิจารณาควบคู่กับลำดับชั้นความลับของข้อมูลตามมาตรฐาน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พระราชบัญญัติการบริหารงานและการให้บริการภาครัฐผ่านระบบดิจิทัล พ.ศ. 2562 มาตรา 13, 15 และ 19: ฐานอำนาจหลักในการจัดทำและบังคับใช้มาตรฐานการเชื่อมโยงข้อมูลภาครัฐ</w:t>
      </w:r>
    </w:p>
    <w:p>
      <w:pPr>
        <w:pStyle w:val="ListBullet"/>
      </w:pPr>
      <w:r>
        <w:t>ประมวลกฎหมายแพ่งและพาณิชย์ (ลักษณะห้างหุ้นส่วนและบริษัท): เป็นฐานกฎหมายของประเภทนิติบุคคล สถานะ และโครงสร้างผู้ถือหุ้น/กรรมการที่ระบุในมาตรฐาน</w:t>
      </w:r>
    </w:p>
    <w:p>
      <w:pPr>
        <w:pStyle w:val="ListBullet"/>
      </w:pPr>
      <w:r>
        <w:t>พระราชบัญญัติคุ้มครองข้อมูลส่วนบุคคล พ.ศ. 2562 (PDPA): ข้อมูลกรรมการ/ผู้ถือหุ้นที่เป็นบุคคลธรรมดาในชุดข้อมูลนิติบุคคลยังถือเป็นข้อมูลส่วนบุคคลที่ต้องคุ้มครองตาม PDPA</w:t>
      </w:r>
    </w:p>
    <w:p>
      <w:pPr>
        <w:pStyle w:val="ListBullet"/>
      </w:pPr>
      <w:r>
        <w:t>ข้อมูลนิติบุคคลของกรมพัฒนาธุรกิจการค้า (bdex.dbd.go.th): เป็นแหล่งข้อมูลต้นทางที่มาตรฐานนี้ใช้อ้างอิงในการพัฒนาโครงสร้างข้อมูลระยะแรก</w:t>
      </w:r>
    </w:p>
    <w:p>
      <w:pPr>
        <w:pStyle w:val="ListBullet"/>
      </w:pPr>
      <w:r>
        <w:t>มาตรฐาน DGS 9-1:2569 (ข้อมูลบุคคล): ใช้ร่วมกันในกรณีกรรมการ/ผู้ถือหุ้นที่เป็นบุคคลธรรมดา ซึ่งต้องอ้างอิงโครงสร้างข้อมูลบุคคลตามมาตรฐานคู่กัน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t>หน้าที่ใหม่ของหน่วยงานภาครัฐ/ผู้พัฒนาระบบ:</w:t>
      </w:r>
    </w:p>
    <w:p>
      <w:pPr>
        <w:pStyle w:val="ListBullet"/>
      </w:pPr>
      <w:r>
        <w:t>หน่วยงานภาครัฐที่ให้บริการตรวจสอบ/เชื่อมโยงข้อมูลนิติบุคคล (เช่น การขึ้นทะเบียน การขอใบอนุญาต การจัดซื้อจัดจ้างภาครัฐ) ควรปรับระบบให้รองรับสคีมาข้อมูลนิติบุคคลตาม DGS 9-2:2569</w:t>
      </w:r>
    </w:p>
    <w:p>
      <w:pPr>
        <w:pStyle w:val="ListBullet"/>
      </w:pPr>
      <w:r>
        <w:t>ผู้พัฒนาระบบที่เชื่อมโยงข้อมูลกับกรมพัฒนาธุรกิจการค้าควรออกแบบ API ให้รองรับทั้งรูปแบบ XML และ JSON ตามตัวอย่าง Response Message ของมาตรฐาน</w:t>
      </w:r>
    </w:p>
    <w:p>
      <w:pPr>
        <w:pStyle w:val="ListBullet"/>
      </w:pPr>
      <w:r>
        <w:t>ระบบที่เก็บข้อมูลกรรมการ/ผู้ถือหุ้นต้องมีมาตรการคุ้มครองข้อมูลส่วนบุคคลตาม PDPA ควบคู่กับการปฏิบัติตามมาตรฐานนี้</w:t>
      </w:r>
    </w:p>
    <w:p>
      <w:r>
        <w:t>สิทธิและความคุ้มครองของประชาชน/เจ้าของข้อมูล:</w:t>
      </w:r>
    </w:p>
    <w:p>
      <w:pPr>
        <w:pStyle w:val="ListBullet"/>
      </w:pPr>
      <w:r>
        <w:t>ภาคธุรกิจจะได้รับความสะดวกมากขึ้นในการทำธุรกรรมกับภาครัฐ เนื่องจากหน่วยงานต่าง ๆ สามารถเรียกดูข้อมูลนิติบุคคล (เช่น สถานะ วัตถุประสงค์ งบการเงินอย่างย่อ) จากแหล่งเดียวกันได้โดยไม่ต้องยื่นเอกสารซ้ำ</w:t>
      </w:r>
    </w:p>
    <w:p>
      <w:pPr>
        <w:pStyle w:val="ListBullet"/>
      </w:pPr>
      <w:r>
        <w:t>เจ้าของนิติบุคคลและกรรมการมีสิทธิตาม PDPA เช่นเดิมสำหรับข้อมูลส่วนบุคคลที่ปรากฏในชุดข้อมูลนิติบุคคล แม้จะมีการเชื่อมโยงข้อมูลระหว่างหน่วยงานมากขึ้น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ตรวจสอบว่าหน่วยงานมีการเรียกใช้หรือเชื่อมโยงข้อมูลนิติบุคคลจากกรมพัฒนาธุรกิจการค้าหรือไม่ และประเมินการปรับระบบให้สอดคล้องกับ DGS 9-2:2569</w:t>
      </w:r>
    </w:p>
    <w:p>
      <w:pPr>
        <w:pStyle w:val="ListNumber"/>
      </w:pPr>
      <w:r>
        <w:t>ดาวน์โหลดเอกสารมาตรฐานฉบับเต็มและไฟล์ XML Schema (XSD) จาก standard.dga.or.th เพื่อใช้เป็นข้อกำหนดทางเทคนิคของทีมพัฒนา</w:t>
      </w:r>
    </w:p>
    <w:p>
      <w:pPr>
        <w:pStyle w:val="ListNumber"/>
      </w:pPr>
      <w:r>
        <w:t>ตรวจสอบขอบเขตนิติบุคคลที่มาตรฐานรองรับในระยะแรก (เฉพาะ 4 ประเภท) ว่าครอบคลุมกรณีใช้งานขององค์กรหรือไม่ หากไม่ครอบคลุมให้ติดตามการขยายขอบเขตในอนาคต</w:t>
      </w:r>
    </w:p>
    <w:p>
      <w:pPr>
        <w:pStyle w:val="ListNumber"/>
      </w:pPr>
      <w:r>
        <w:t>ทบทวนมาตรการคุ้มครองข้อมูลส่วนบุคคลสำหรับข้อมูลกรรมการ/ผู้ถือหุ้นที่เป็นบุคคลธรรมดาในระบบที่จะเชื่อมโยงข้อมูลตามมาตรฐานนี้</w:t>
      </w:r>
    </w:p>
    <w:p>
      <w:pPr>
        <w:pStyle w:val="ListNumber"/>
      </w:pPr>
      <w:r>
        <w:t>มอบหมายผู้รับผิดชอบติดตามมาตรฐานที่เกี่ยวข้องในกลุ่มเดียวกัน (TGIX Semantic Standards) รวมถึง DGS 9-1:2569 (ข้อมูลบุคคล) ที่ประกาศพร้อมกัน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eastAsia="Sarab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