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2026-10-07</w:t>
      </w:r>
    </w:p>
    <w:p>
      <w:r>
        <w:t>แหล่งอ้างอิง: https://www.pdpc.or.th/28888/</w:t>
      </w:r>
    </w:p>
    <w:p/>
    <w:p>
      <w:pPr>
        <w:pStyle w:val="Title"/>
      </w:pPr>
      <w:r>
        <w:t>แนวทางการดำเนินการด้านการคุ้มครองข้อมูลส่วนบุคคลเกี่ยวกับการพัฒนาและการใช้งานเทคโนโลยีปัญญาประดิษฐ์ (AI) เวอร์ชัน 1.0</w:t>
      </w:r>
    </w:p>
    <w:p>
      <w:r>
        <w:t>สรุปและเปรียบเทียบสาระสำคัญของแนวทางที่คณะกรรมการคุ้มครองข้อมูลส่วนบุคคล (PDPC) ออกตามมาตรา 16 (3) แห่ง PDPA และจัดทำโดย สคส. ร่วมกับ สพธอ. ซึ่งเชื่อมข้อกำหนด PDPA เข้ากับวงจรชีวิตของระบบ AI ทั้ง Analytic AI, Generative AI และ Agentic AI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ประกาศโดย</w:t>
            </w:r>
          </w:p>
        </w:tc>
        <w:tc>
          <w:tcPr>
            <w:tcW w:type="dxa" w:w="4320"/>
          </w:tcPr>
          <w:p>
            <w:r>
              <w:t>คณะกรรมการคุ้มครองข้อมูลส่วนบุคคล (PDPC) อาศัยอำนาจตามมาตรา 16 (3) แห่งพระราชบัญญัติคุ้มครองข้อมูลส่วนบุคคล พ.ศ. 2562</w:t>
            </w:r>
          </w:p>
        </w:tc>
      </w:tr>
      <w:tr>
        <w:tc>
          <w:tcPr>
            <w:tcW w:type="dxa" w:w="4320"/>
          </w:tcPr>
          <w:p>
            <w:r>
              <w:t>จัดทำโดย</w:t>
            </w:r>
          </w:p>
        </w:tc>
        <w:tc>
          <w:tcPr>
            <w:tcW w:type="dxa" w:w="4320"/>
          </w:tcPr>
          <w:p>
            <w:r>
              <w:t>สำนักงานคณะกรรมการคุ้มครองข้อมูลส่วนบุคคล (สคส.) และสำนักงานพัฒนาธุรกรรมทางอิเล็กทรอนิกส์ (สพธอ./ETDA)</w:t>
            </w:r>
          </w:p>
        </w:tc>
      </w:tr>
      <w:tr>
        <w:tc>
          <w:tcPr>
            <w:tcW w:type="dxa" w:w="4320"/>
          </w:tcPr>
          <w:p>
            <w:r>
              <w:t>ชื่อเอกสาร</w:t>
            </w:r>
          </w:p>
        </w:tc>
        <w:tc>
          <w:tcPr>
            <w:tcW w:type="dxa" w:w="4320"/>
          </w:tcPr>
          <w:p>
            <w:r>
              <w:t>แนวทางการดำเนินการด้านการคุ้มครองข้อมูลส่วนบุคคลเกี่ยวกับการพัฒนาและการใช้งานเทคโนโลยีปัญญาประดิษฐ์ (Artificial Intelligence) version 1.0 (ประมาณ 80 หน้า)</w:t>
            </w:r>
          </w:p>
        </w:tc>
      </w:tr>
      <w:tr>
        <w:tc>
          <w:tcPr>
            <w:tcW w:type="dxa" w:w="4320"/>
          </w:tcPr>
          <w:p>
            <w:r>
              <w:t>วันที่เผยแพร่</w:t>
            </w:r>
          </w:p>
        </w:tc>
        <w:tc>
          <w:tcPr>
            <w:tcW w:type="dxa" w:w="4320"/>
          </w:tcPr>
          <w:p>
            <w:r>
              <w:t>7 ตุลาคม 2569 (วันที่แสดงบนหน้าประกาศของ สคส.)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ไม่ระบุ เป็นแนวทางที่ไม่มีสภาพบังคับตามกฎหมาย (ไม่ได้ลงราชกิจจานุเบกษา)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เว็บไซต์ สคส. หมวด ประกาศสำนักงานคณะกรรมการคุ้มครองข้อมูลส่วนบุคคล: https://www.pdpc.or.th/28888/</w:t>
            </w:r>
          </w:p>
        </w:tc>
      </w:tr>
    </w:tbl>
    <w:p/>
    <w:p>
      <w:r>
        <w:t>หมายเหตุการอ่านต้นฉบับ: ไฟล์ PDF ใช้ฟอนต์ที่ถอดข้อความได้เพี้ยนบางตัวอักษร ผู้จัดทำตรวจอ่านสารบัญ บทสรุปผู้บริหาร คำแนะนำการใช้เอกสาร และเนื้อหาหัวข้อ 3.2-3.3, 4.5, 8.2 และ 9.2 เป็นหลัก ส่วนรายละเอียดอื่นควรเปิดดูจากไฟล์ต้นฉบับ นอกจากนี้บางหน้าของไฟล์มีข้อความ "(ร่าง)" ที่ส่วนหัว จึงควรตรวจสอบสถานะล่าสุดกับ สคส. ก่อนนำไปอ้างอิงเป็นทางการ</w:t>
      </w:r>
    </w:p>
    <w:p>
      <w:pPr>
        <w:pStyle w:val="Heading1"/>
      </w:pPr>
      <w:r>
        <w:t>2. วัตถุประสงค์และเหตุผลความจำเป็น</w:t>
      </w:r>
    </w:p>
    <w:p>
      <w:r>
        <w:t>ระบบ AI ประมวลผลข้อมูลแบบพลวัตและซับซ้อนกว่าฐานข้อมูลแบบเดิม ตั้งแต่คำสั่งที่ป้อนเข้า (Prompt) การแปลงข้อมูลเป็นเวกเตอร์ (Embedding) ไปจนถึงการนำข้อมูลไปฝึกโมเดล จึงเกิดความท้าทายใหม่ต่อการคุ้มครองข้อมูลส่วนบุคคล แนวทางฉบับนี้จัดทำเพื่อให้ผู้ควบคุมข้อมูลส่วนบุคคลและผู้เกี่ยวข้องนำ PDPA ไปปรับใช้กับการพัฒนาและใช้งาน AI ได้อย่างเป็นรูปธรรม เป็นคำแนะนำในชั้นต้นและไม่มีผลผูกพันในการพิจารณาความผิด</w:t>
      </w:r>
    </w:p>
    <w:p>
      <w:pPr>
        <w:pStyle w:val="Heading1"/>
      </w:pPr>
      <w:r>
        <w:t>3. ตารางเปรียบเทียบเชิงลึก (แนวปฏิบัติเดิม vs แนวทางฉบับใหม่)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 (แนวทางฉบับนี้)</w:t>
            </w:r>
          </w:p>
        </w:tc>
      </w:tr>
      <w:tr>
        <w:tc>
          <w:tcPr>
            <w:tcW w:type="dxa" w:w="2880"/>
          </w:tcPr>
          <w:p>
            <w:r>
              <w:t>ขอบเขต</w:t>
            </w:r>
          </w:p>
        </w:tc>
        <w:tc>
          <w:tcPr>
            <w:tcW w:type="dxa" w:w="2880"/>
          </w:tcPr>
          <w:p>
            <w:r>
              <w:t>PDPA เป็นกฎหมายที่ไม่ระบุเทคโนโลยีเฉพาะ องค์กรต้องตีความเองว่าใช้กับ AI อย่างไร</w:t>
            </w:r>
          </w:p>
        </w:tc>
        <w:tc>
          <w:tcPr>
            <w:tcW w:type="dxa" w:w="2880"/>
          </w:tcPr>
          <w:p>
            <w:r>
              <w:t>ครอบคลุม Analytic AI, Generative AI และ Agentic AI ตลอดวงจรชีวิต AI ตั้งแต่วางแผน เตรียมข้อมูล ฝึกโมเดล ใช้งาน จนยุติการใช้งาน</w:t>
            </w:r>
          </w:p>
        </w:tc>
      </w:tr>
      <w:tr>
        <w:tc>
          <w:tcPr>
            <w:tcW w:type="dxa" w:w="2880"/>
          </w:tcPr>
          <w:p>
            <w:r>
              <w:t>สถานะข้อมูลในระบบ AI (เพิ่มใหม่)</w:t>
            </w:r>
          </w:p>
        </w:tc>
        <w:tc>
          <w:tcPr>
            <w:tcW w:type="dxa" w:w="2880"/>
          </w:tcPr>
          <w:p>
            <w:r>
              <w:t>ไม่มีแนวทางเฉพาะว่าข้อมูลใดในระบบ AI เป็นข้อมูลส่วนบุคคล</w:t>
            </w:r>
          </w:p>
        </w:tc>
        <w:tc>
          <w:tcPr>
            <w:tcW w:type="dxa" w:w="2880"/>
          </w:tcPr>
          <w:p>
            <w:r>
              <w:t>Prompt, Log, Embedding และ Output ที่ AI สร้างขึ้น อาจเป็นข้อมูลส่วนบุคคลตามมาตรา 6 หากระบุตัวบุคคลได้ทางตรงหรือทางอ้อม และโมเดลที่ฝึกด้วยข้อมูลส่วนบุคคลไม่ถือเป็นข้อมูลนิรนามโดยอัตโนมัติ</w:t>
            </w:r>
          </w:p>
        </w:tc>
      </w:tr>
      <w:tr>
        <w:tc>
          <w:tcPr>
            <w:tcW w:type="dxa" w:w="2880"/>
          </w:tcPr>
          <w:p>
            <w:r>
              <w:t>บทบาทตามกฎหมาย (เพิ่มใหม่)</w:t>
            </w:r>
          </w:p>
        </w:tc>
        <w:tc>
          <w:tcPr>
            <w:tcW w:type="dxa" w:w="2880"/>
          </w:tcPr>
          <w:p>
            <w:r>
              <w:t>พิจารณาตามหลัก PDPA ทั่วไป</w:t>
            </w:r>
          </w:p>
        </w:tc>
        <w:tc>
          <w:tcPr>
            <w:tcW w:type="dxa" w:w="2880"/>
          </w:tcPr>
          <w:p>
            <w:r>
              <w:t>ให้ระบุว่าเป็นผู้ควบคุมหรือผู้ประมวลผลข้อมูลในแต่ละกิจกรรมของห่วงโซ่คุณค่า AI โดยดูจากอำนาจตัดสินใจ วัตถุประสงค์ และวิธีการ ไม่ใช่ชื่อบทบาททางเทคนิค ผู้ให้บริการที่นำข้อมูลลูกค้าไปฝึกโมเดลของตนอาจกลายเป็นผู้ควบคุมอีกราย</w:t>
            </w:r>
          </w:p>
        </w:tc>
      </w:tr>
      <w:tr>
        <w:tc>
          <w:tcPr>
            <w:tcW w:type="dxa" w:w="2880"/>
          </w:tcPr>
          <w:p>
            <w:r>
              <w:t>ฐานทางกฎหมาย (ปรับแนวทาง)</w:t>
            </w:r>
          </w:p>
        </w:tc>
        <w:tc>
          <w:tcPr>
            <w:tcW w:type="dxa" w:w="2880"/>
          </w:tcPr>
          <w:p>
            <w:r>
              <w:t>มักพึ่งความยินยอมเป็นหลัก</w:t>
            </w:r>
          </w:p>
        </w:tc>
        <w:tc>
          <w:tcPr>
            <w:tcW w:type="dxa" w:w="2880"/>
          </w:tcPr>
          <w:p>
            <w:r>
              <w:t>ความยินยอมควรเป็นทางเลือกสุดท้าย ให้วิเคราะห์ฐานตามมาตรา 24 หรือ 26 ก่อน โดยฐานประโยชน์โดยชอบด้วยกฎหมายต้องมีการประเมิน (LIA) เพราะการถอนความยินยอมอาจทำให้ต้องลบข้อมูลออกจากชุดฝึกโมเดล</w:t>
            </w:r>
          </w:p>
        </w:tc>
      </w:tr>
      <w:tr>
        <w:tc>
          <w:tcPr>
            <w:tcW w:type="dxa" w:w="2880"/>
          </w:tcPr>
          <w:p>
            <w:r>
              <w:t>การบริหารความเสี่ยง (เพิ่มใหม่)</w:t>
            </w:r>
          </w:p>
        </w:tc>
        <w:tc>
          <w:tcPr>
            <w:tcW w:type="dxa" w:w="2880"/>
          </w:tcPr>
          <w:p>
            <w:r>
              <w:t>ไม่มีแนวทางเฉพาะด้าน AI</w:t>
            </w:r>
          </w:p>
        </w:tc>
        <w:tc>
          <w:tcPr>
            <w:tcW w:type="dxa" w:w="2880"/>
          </w:tcPr>
          <w:p>
            <w:r>
              <w:t>โครงการ AI ที่กระทบสิทธิ เช่น การตัดสินใจอัตโนมัติ หรือใช้ข้อมูลอ่อนไหวฝึกโมเดล ควรทำ DPIA ก่อนเริ่ม พร้อมมาตรการเฉพาะ เช่น Input/Output Guardrails จำกัดสิทธิของ AI Agent และระบบบันทึก Log</w:t>
            </w:r>
          </w:p>
        </w:tc>
      </w:tr>
      <w:tr>
        <w:tc>
          <w:tcPr>
            <w:tcW w:type="dxa" w:w="2880"/>
          </w:tcPr>
          <w:p>
            <w:r>
              <w:t>Privacy by Design/Default (เพิ่มใหม่)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ลดข้อมูลให้น้อยที่สุด ใช้ PETs เช่น การทำให้เป็นนิรนามหรือแฝงข้อมูลในขั้นฝึกโมเดล และตั้งค่าเริ่มต้นให้ปกป้องสูงสุด เช่น ไม่เก็บประวัติสนทนาและไม่นำข้อมูลไปฝึกโมเดล เว้นแต่ผู้ใช้เลือกเปิดเอง</w:t>
            </w:r>
          </w:p>
        </w:tc>
      </w:tr>
      <w:tr>
        <w:tc>
          <w:tcPr>
            <w:tcW w:type="dxa" w:w="2880"/>
          </w:tcPr>
          <w:p>
            <w:r>
              <w:t>สิทธิของเจ้าของข้อมูล</w:t>
            </w:r>
          </w:p>
        </w:tc>
        <w:tc>
          <w:tcPr>
            <w:tcW w:type="dxa" w:w="2880"/>
          </w:tcPr>
          <w:p>
            <w:r>
              <w:t>ใช้สิทธิตามหมวด 3 ของ PDPA</w:t>
            </w:r>
          </w:p>
        </w:tc>
        <w:tc>
          <w:tcPr>
            <w:tcW w:type="dxa" w:w="2880"/>
          </w:tcPr>
          <w:p>
            <w:r>
              <w:t>ข้อจำกัดทางเทคนิค เช่น Machine Unlearning ไม่ได้ยกเว้นหน้าที่ตามกฎหมาย แนะนำออกแบบสถาปัตยกรรมแยกส่วนข้อมูล เช่น ระบบ RAG ที่ลบรายการจาก Vector Database ได้โดยตรง และใช้ Output Filtering ระหว่างรอปรับปรุงโมเดล</w:t>
            </w:r>
          </w:p>
        </w:tc>
      </w:tr>
      <w:tr>
        <w:tc>
          <w:tcPr>
            <w:tcW w:type="dxa" w:w="2880"/>
          </w:tcPr>
          <w:p>
            <w:r>
              <w:t>การแจ้งเหตุละเมิดข้อมูล</w:t>
            </w:r>
          </w:p>
        </w:tc>
        <w:tc>
          <w:tcPr>
            <w:tcW w:type="dxa" w:w="2880"/>
          </w:tcPr>
          <w:p>
            <w:r>
              <w:t>แจ้ง สคส. ภายใน 72 ชั่วโมงนับแต่ทราบเหตุ (มาตรา 37 (4))</w:t>
            </w:r>
          </w:p>
        </w:tc>
        <w:tc>
          <w:tcPr>
            <w:tcW w:type="dxa" w:w="2880"/>
          </w:tcPr>
          <w:p>
            <w:r>
              <w:t>ยืนยันกรอบเดิม และให้ประเมินความเสี่ยงเฉพาะระบบ AI เช่น Prompt Leakage, Data Leakage via Inference และข้อมูลใน Prompt ที่ถูกนำไปฝึกโมเดลจนกลายเป็นความจำถาวร</w:t>
            </w:r>
          </w:p>
        </w:tc>
      </w:tr>
      <w:tr>
        <w:tc>
          <w:tcPr>
            <w:tcW w:type="dxa" w:w="2880"/>
          </w:tcPr>
          <w:p>
            <w:r>
              <w:t>สิ่งที่ยกเลิกหรือผ่อนปรน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ไม่มี แนวทางระบุว่าใช้ประกอบการปฏิบัติตาม PDPA โดยไม่ได้ทดแทนกฎหมายหรือแนวทางพื้นฐานอื่นของ สคส.</w:t>
            </w:r>
          </w:p>
        </w:tc>
      </w:tr>
      <w:tr>
        <w:tc>
          <w:tcPr>
            <w:tcW w:type="dxa" w:w="2880"/>
          </w:tcPr>
          <w:p>
            <w:r>
              <w:t>บทกำหนดโทษ</w:t>
            </w:r>
          </w:p>
        </w:tc>
        <w:tc>
          <w:tcPr>
            <w:tcW w:type="dxa" w:w="2880"/>
          </w:tcPr>
          <w:p>
            <w:r>
              <w:t>โทษตาม PDPA หมวด 6-7</w:t>
            </w:r>
          </w:p>
        </w:tc>
        <w:tc>
          <w:tcPr>
            <w:tcW w:type="dxa" w:w="2880"/>
          </w:tcPr>
          <w:p>
            <w:r>
              <w:t>แนวทางไม่ก่อโทษใหม่และไม่มีสภาพบังคับในตัวเอง แต่การไม่ปฏิบัติตาม PDPA ยังมีโทษทางแพ่ง อาญา และปรับทางปกครอง (สูงสุดตามกฎหมาย 5 ล้านบาท) การทำตามแนวทางช่วยพิสูจน์ความรับผิดชอบเชิงปฏิบัติ</w:t>
            </w:r>
          </w:p>
        </w:tc>
      </w:tr>
    </w:tbl>
    <w:p/>
    <w:p>
      <w:r>
        <w:t>ข้อสังเกต: แนวทางนี้เป็นเอกสารเชิงแนะนำ ผู้เขียนตีความสรุปจากข้อความต้นฉบับที่อ่านได้ ไม่ใช่คำวินิจฉัยของ สคส.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พ.ร.บ.คุ้มครองข้อมูลส่วนบุคคล พ.ศ. 2562 (PDPA): เป็นกฎหมายแม่ของแนวทางนี้ โดยอ้างมาตรา 6 (นิยามข้อมูลส่วนบุคคล) มาตรา 24/26 (ฐานทางกฎหมาย) มาตรา 33 (สิทธิขอลบ) และมาตรา 37 (4) (แจ้งเหตุละเมิดภายใน 72 ชั่วโมง)</w:t>
      </w:r>
    </w:p>
    <w:p>
      <w:pPr>
        <w:pStyle w:val="ListBullet"/>
      </w:pPr>
      <w:r>
        <w:t>พ.ร.บ.ว่าด้วยการกระทำความผิดเกี่ยวกับคอมพิวเตอร์ พ.ศ. 2550: การบันทึก Log ของระบบ AI ที่แนวทางแนะนำ รองรับการพิสูจน์หลักฐานภายหลังและสอดคล้องกับหน้าที่เก็บข้อมูลจราจรทางคอมพิวเตอร์ (ข้อสังเกตเชิงบูรณาการของผู้จัดทำ)</w:t>
      </w:r>
    </w:p>
    <w:p>
      <w:pPr>
        <w:pStyle w:val="ListBullet"/>
      </w:pPr>
      <w:r>
        <w:t>พ.ร.บ.การรักษาความมั่นคงปลอดภัยไซเบอร์ พ.ศ. 2562: มาตรการเชิงเทคนิคในบทที่ 7 เช่น Guardrails และการควบคุมการเข้าถึง สอดรับกับการรักษาความมั่นคงปลอดภัยระบบ (ข้อสังเกตเชิงบูรณาการของผู้จัดทำ)</w:t>
      </w:r>
    </w:p>
    <w:p>
      <w:pPr>
        <w:pStyle w:val="ListBullet"/>
      </w:pPr>
      <w:r>
        <w:t>ร่าง พ.ร.บ.ปัญญาประดิษฐ์: ยังเป็นร่างกฎหมาย (ดูบล็อกร่างฯ ในรอบ 2026-09-28) แนวทาง สคส. ฉบับนี้ทำหน้าที่เติมช่องว่างด้านข้อมูลส่วนบุคคลระหว่างที่ยังไม่มีกฎหมาย AI เฉพาะ</w:t>
      </w:r>
    </w:p>
    <w:p>
      <w:pPr>
        <w:pStyle w:val="ListBullet"/>
      </w:pPr>
      <w:r>
        <w:t>ประมวลกฎหมายแพ่งและพาณิชย์: ความรับผิดทางละเมิดและสัญญากับผู้ให้บริการ AI ภายนอก แนวทางให้กำหนดขอบเขตการเก็บ ใช้ เปิดเผยข้อมูล และห้ามนำไปฝึกโมเดลไว้ในสัญญา (Vendor Due Diligence และ DPA)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t>หน้าที่ใหม่ของบริษัทเทคโนโลยี/องค์กรที่ใช้ AI:</w:t>
      </w:r>
    </w:p>
    <w:p>
      <w:pPr>
        <w:pStyle w:val="ListBullet"/>
      </w:pPr>
      <w:r>
        <w:t>ระบุบทบาทผู้ควบคุม/ผู้ประมวลผลข้อมูลในทุกกิจกรรมของห่วงโซ่ AI และทบทวนสัญญากับผู้ให้บริการ AI ภายนอก รวมถึงเงื่อนไขการส่งหรือโอนข้อมูลไปต่างประเทศ</w:t>
      </w:r>
    </w:p>
    <w:p>
      <w:pPr>
        <w:pStyle w:val="ListBullet"/>
      </w:pPr>
      <w:r>
        <w:t>วิเคราะห์ฐานทางกฎหมายก่อนพึ่งความยินยอม จัดทำ LIA และ DPIA สำหรับโครงการเสี่ยงสูง</w:t>
      </w:r>
    </w:p>
    <w:p>
      <w:pPr>
        <w:pStyle w:val="ListBullet"/>
      </w:pPr>
      <w:r>
        <w:t>ออกแบบระบบให้รองรับการลบข้อมูลรายบุคคลและมีแผนรับมือเหตุละเมิดที่แจ้ง สคส. ได้ภายใน 72 ชั่วโมง</w:t>
      </w:r>
    </w:p>
    <w:p>
      <w:r>
        <w:t>สิทธิและความคุ้มครองของประชาชน/เจ้าของข้อมูล:</w:t>
      </w:r>
    </w:p>
    <w:p>
      <w:pPr>
        <w:pStyle w:val="ListBullet"/>
      </w:pPr>
      <w:r>
        <w:t>ข้อมูลที่ป้อนให้ AI และผลลัพธ์ที่ระบุตัวบุคคลได้ ยังเป็นข้อมูลส่วนบุคคลที่ได้รับความคุ้มครองตาม PDPA</w:t>
      </w:r>
    </w:p>
    <w:p>
      <w:pPr>
        <w:pStyle w:val="ListBullet"/>
      </w:pPr>
      <w:r>
        <w:t>เจ้าของข้อมูลยังใช้สิทธิเข้าถึง ขอสำเนา คัดค้าน แก้ไข และขอลบได้ แม้เทคโนโลยีจะซับซ้อน และควรได้รับการแจ้งเมื่อมีความเสี่ยงสูง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ดาวน์โหลดแนวทางฉบับเต็มจากเว็บไซต์ สคส. และใช้รายการตรวจสอบในภาคผนวก ก. (การพัฒนา AI) และ ข. (การใช้ AI) ประเมินความพร้อมของตนเอง</w:t>
      </w:r>
    </w:p>
    <w:p>
      <w:pPr>
        <w:pStyle w:val="ListNumber"/>
      </w:pPr>
      <w:r>
        <w:t>ทำทะเบียนระบบ AI ที่ใช้ข้อมูลส่วนบุคคล ระบุว่าเป็นผู้ควบคุมหรือผู้ประมวลผล และฐานทางกฎหมายของแต่ละกิจกรรม</w:t>
      </w:r>
    </w:p>
    <w:p>
      <w:pPr>
        <w:pStyle w:val="ListNumber"/>
      </w:pPr>
      <w:r>
        <w:t>ประเมินว่าโครงการเข้าเกณฑ์ความเสี่ยงสูงที่ต้องทำ DPIA หรือไม่ ก่อนผู้บริหารอนุมัติ</w:t>
      </w:r>
    </w:p>
    <w:p>
      <w:pPr>
        <w:pStyle w:val="ListNumber"/>
      </w:pPr>
      <w:r>
        <w:t>ตรวจสัญญากับผู้ให้บริการ AI ภายนอก ห้ามนำข้อมูลไปฝึกโมเดลโดยไม่ได้รับอนุญาต และตรวจสอบการโอนข้อมูลไปต่างประเทศ</w:t>
      </w:r>
    </w:p>
    <w:p>
      <w:pPr>
        <w:pStyle w:val="ListNumber"/>
      </w:pPr>
      <w:r>
        <w:t>ตั้งค่าเริ่มต้นแบบ Privacy by Default ปิดการเก็บประวัติสนทนาและการนำข้อมูลไปฝึกโมเดล เว้นแต่ผู้ใช้เลือกเปิดเอง</w:t>
      </w:r>
    </w:p>
    <w:p>
      <w:pPr>
        <w:pStyle w:val="ListNumber"/>
      </w:pPr>
      <w:r>
        <w:t>ปรับสถาปัตยกรรม (เช่น แยกข้อมูลใน RAG) ให้รองรับคำขอลบข้อมูล และทดสอบแผนแจ้งเหตุละเมิดภายใน 72 ชั่วโมง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