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6"/>
        </w:rPr>
        <w:t>เอกสารสรุปและเปรียบเทียบข้อกฎหมายเทคโนโลยีสารสนเทศ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/>
          <w:sz w:val="26"/>
        </w:rPr>
        <w:t>ประกาศสำนักงานคณะกรรมการกำกับหลักทรัพย์และตลาดหลักทรัพย์ ที่ สธ. 9/2569 เรื่อง หลักเกณฑ์ Travel Rule สำหรับผู้ประกอบธุรกิจสินทรัพย์ดิจิทัล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สถานะ: ประกาศใช้แล้ว (มีผลบังคับ ก.พ. 2570)  |  หมวดหมู่: B — Indirect Tech Impact (FinTech / Digital Asset / AML)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เอกสารอ้างอิง: ประกาศสำนักงาน ก.ล.ต. ที่ สธ. 9/2569 ลงวันที่ 2 กันยายน 2569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วันที่มีผลใช้บังคับ: 27 กุมภาพันธ์ 2570 (ระยะเวลาเตรียมการประมาณ 178 วัน / ~6 เดือน นับแต่วันประกาศ — เป็น single effective date เดียว ไม่มีการทยอยบังคับใช้เป็นเฟส)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หน่วยงานกำกับดูแล: สำนักงานคณะกรรมการกำกับหลักทรัพย์และตลาดหลักทรัพย์ (ก.ล.ต.)</w:t>
      </w:r>
    </w:p>
    <w:p>
      <w:r>
        <w:br/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1. วัตถุประสงค์และเหตุผลความจำเป็น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2"/>
        </w:rPr>
        <w:t>กำหนดให้ผู้ประกอบธุรกิจสินทรัพย์ดิจิทัล (VASP) ทุกประเภทที่เกี่ยวข้องกับการโอน ต้องรวบรวมและส่งต่อข้อมูลผู้โอน-ผู้รับโอนตามมาตรฐานสากล FATF Travel Rule (Recommendation 16) เพื่อป้องกันการฟอกเงินและการสนับสนุนการก่อการร้าย ครอบคลุมถึงกระเป๋าสินทรัพย์ดิจิทัลแบบดูแลตนเอง (self-custody wallet) ซึ่งเข้มกว่ามาตรฐาน FATF พื้นฐานหลายประเทศ</w:t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2. ตารางเปรียบเทียบเชิงลึก: กฎหมายฉบับเดิม vs กฎหมายฉบับใหม่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B2545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20"/>
              </w:rPr>
              <w:t>ประเด็นเปรียบเทียบ (มาตรา)</w:t>
            </w:r>
          </w:p>
        </w:tc>
        <w:tc>
          <w:tcPr>
            <w:tcW w:type="dxa" w:w="3324"/>
            <w:shd w:val="clear" w:color="auto" w:fill="0B2545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20"/>
              </w:rPr>
              <w:t>กฎหมาย/หลักเกณฑ์เดิม</w:t>
            </w:r>
          </w:p>
        </w:tc>
        <w:tc>
          <w:tcPr>
            <w:tcW w:type="dxa" w:w="3324"/>
            <w:shd w:val="clear" w:color="auto" w:fill="0B2545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20"/>
              </w:rPr>
              <w:t>กฎหมาย/หลักเกณฑ์ใหม่</w:t>
            </w:r>
          </w:p>
        </w:tc>
      </w:tr>
      <w:tr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การส่งข้อมูลธุรกรรมโอน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ไม่มีข้อบังคับเฉพาะ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ต้องส่งข้อมูลผู้โอน-ผู้รับโอนประกอบคำสั่งโอนทุกครั้ง (accompany, ไม่ใช่ส่งย้อนหลัง)</w:t>
            </w:r>
          </w:p>
        </w:tc>
      </w:tr>
      <w:tr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เกณฑ์มูลค่าที่ต้องเก็บข้อมูลเพิ่ม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ไม่มี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30,000 บาท — เพิ่มจังหวัด/ประเทศ + เลขทะเบียนนิติบุคคล + ตรวจสอบ self-custody wallet</w:t>
            </w:r>
          </w:p>
        </w:tc>
      </w:tr>
      <w:tr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การเก็บบันทึกข้อมูล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ไม่มีระยะเวลาบังคับเฉพาะ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ต้องเก็บอย่างน้อย 5 ปี ในระบบที่ตรวจสอบได้ทันที</w:t>
            </w:r>
          </w:p>
        </w:tc>
      </w:tr>
      <w:tr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ขอบเขตการตรวจสอบ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เฉพาะคู่สัญญาที่มีใบอนุญาต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ครอบคลุมถึงกระเป๋าสินทรัพย์ดิจิทัลแบบดูแลตนเอง (self-custody) ก่อนอนุญาตให้โอน</w:t>
            </w:r>
          </w:p>
        </w:tc>
      </w:tr>
      <w:tr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มาตรฐานอ้างอิง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ไม่มีมาตรฐานสากลบังคับชัดเจน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อ้างอิง FATF Recommendation 16 เตรียมรับ FATF Mutual Evaluation ปี 2571</w:t>
            </w:r>
          </w:p>
        </w:tc>
      </w:tr>
    </w:tbl>
    <w:p>
      <w:pPr>
        <w:spacing w:after="4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/>
          <w:sz w:val="22"/>
        </w:rPr>
        <w:t>หมายเหตุการเปลี่ยนแปลงบทกำหนดโทษ: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ฝ่าฝืนเข้าข่ายความผิดตาม พ.ร.ก. สินทรัพย์ดิจิทัล 2561 ม.30/35/36/67 (โทษปรับ/เพิกถอนใบอนุญาต VASP)</w:t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3. การบูรณาการและความสัมพันธ์กับกฎหมายอื่น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พระราชกำหนดการประกอบธุรกิจสินทรัพย์ดิจิทัล พ.ศ. 2561 (แก้ไขเพิ่มเติมฉบับที่ 2 พ.ศ. 2568) — กฎหมายแม่ที่ให้อำนาจ ก.ล.ต. ออกหลักเกณฑ์นี้ตามมาตรา 30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พระราชบัญญัติป้องกันและปราบปรามการฟอกเงิน พ.ศ. 2542 (แก้ไขเพิ่มเติม) — VASP ถูกจัดเป็น "สถาบันการเงิน"/ผู้มีหน้าที่รายงานภายใต้กฎหมายนี้อยู่แล้วเป็นทุนเดิม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มาตรฐานสากล FATF Recommendation 16 (Travel Rule) — ~83% ของประเทศสมาชิก FATF บังคับใช้แล้ว ไทยเตรียมรับการประเมิน Mutual Evaluation ปี 2571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ประกาศ/มาตรการเพดานถอนเงินสดของธนาคารแห่งประเทศไทย (มีผล 1 เม.ย. 2569) ภายใต้กรอบ พ.ร.ก. อาชญากรรมทางเทคโนโลยี — ล้อกับร่างเพดานโอน stablecoin ที่เสนอคู่ขนาน</w:t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4. ผลกระทบต่อผู้มีส่วนได้ส่วนเสีย</w:t>
      </w:r>
    </w:p>
    <w:p>
      <w:pPr>
        <w:pStyle w:val="Heading2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FF6600"/>
          <w:sz w:val="26"/>
        </w:rPr>
        <w:t>4.1 ภาระหน้าที่ของบริษัทไอที/ผู้พัฒนาซอฟต์แวร์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ผู้ประกอบธุรกิจต้องพัฒนาโมดูล Travel Rule compliance เชื่อมต่อกับ exchange คู่ธุรกรรมทั้งในและต่างประเทศ พร้อมระบบตรวจสอบกระเป๋า self-custody ก่อนอนุญาตให้โอน ภาระส่วนใหญ่จะตกอยู่กับผู้ใช้ปลายทางที่ต้องพิสูจน์ความเป็นเจ้าของ wallet เอง เนื่องจากยังไม่มีมาตรฐานการตรวจสอบร่วมกันระหว่างแพลตฟอร์ม แต่ละ exchange ต้องออกแบบ UX ของตนเอง เสี่ยงเกิดความสับสนและช่องทาง phishing ที่แอบอ้างเป็นกระบวนการยืนยันความเป็นเจ้าของ wallet ระยะเวลาเตรียมตัว ~6 เดือนถือว่ากระชั้นเมื่อเทียบกับมาตรฐานสากลที่มักให้เวลา 12-18 เดือน</w:t>
      </w:r>
    </w:p>
    <w:p>
      <w:pPr>
        <w:pStyle w:val="Heading2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FF6600"/>
          <w:sz w:val="26"/>
        </w:rPr>
        <w:t>4.2 สิทธิและผลกระทบต่อประชาชนผู้ใช้งาน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นักลงทุน/ผู้ใช้คริปโตได้รับความคุ้มครองจากการฟอกเงินมากขึ้น แต่ต้องเตรียมพิสูจน์ความเป็นเจ้าของ wallet เอง</w:t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5. รายการสิ่งที่ต้องดำเนินการทันที (Immediate Compliance Checklist)</w:t>
      </w:r>
    </w:p>
    <w:p>
      <w:pPr>
        <w:pStyle w:val="ListNumber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จัดทำนโยบายบริหารความเสี่ยงด้านการโอน/รับโอนสินทรัพย์ดิจิทัลตามบทบาท Ordering/Beneficiary/Intermediary</w:t>
      </w:r>
    </w:p>
    <w:p>
      <w:pPr>
        <w:pStyle w:val="ListNumber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พัฒนาระบบรวบรวมและส่งข้อมูลผู้โอน-ผู้รับโอนประกอบคำสั่งโอนทุกครั้งตามมาตรฐาน FATF</w:t>
      </w:r>
    </w:p>
    <w:p>
      <w:pPr>
        <w:pStyle w:val="ListNumber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ออกแบบกระบวนการตรวจสอบความเป็นเจ้าของ self-hosted wallet ที่ปลอดภัยจากความเสี่ยง phishing</w:t>
      </w:r>
    </w:p>
    <w:p>
      <w:pPr>
        <w:pStyle w:val="ListNumber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จัดทำระบบเก็บบันทึกข้อมูลธุรกรรมไม่ต่ำกว่า 5 ปี พร้อมให้ตรวจสอบได้ทันที</w:t>
      </w:r>
    </w:p>
    <w:p>
      <w:pPr>
        <w:pStyle w:val="ListNumber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เฝ้าระวังพฤติกรรม transaction splitting (แบ่งธุรกรรมเพื่อหลบเลี่ยงเกณฑ์ 30,000 บาท) ซึ่งเป็น red flag ที่ต้องรายงาน</w:t>
      </w:r>
    </w:p>
    <w:p>
      <w:pPr>
        <w:pStyle w:val="ListNumber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ติดตามร่างเพดานโอน stablecoin 5 ล้านบาท/วัน ที่จะตามมาในแพ็คเกจเดียวกัน</w:t>
      </w:r>
    </w:p>
    <w:p/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color w:val="6B7280"/>
          <w:sz w:val="18"/>
        </w:rPr>
        <w:t>แหล่งข้อมูล: cryptotimes.io/2026/09/13; siambitcoin.com/2026/09/04-05; thaibitcast.com; bangkokbiznews.com/finance/stock/1240283; infoquest.co.th/2026/642058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color w:val="6B7280"/>
          <w:sz w:val="18"/>
        </w:rPr>
        <w:t>หมายเหตุการตรวจสอบแหล่งที่มา: ไม่พบตัวบทประกาศฉบับเต็ม (primary text) เผยแพร่บน sec.or.th หรือราชกิจจานุเบกษาในการสืบค้นครั้งนี้ (ประกาศเพิ่งออก ~3 สัปดาห์ก่อนจัดทำรายงาน) รายละเอียดระดับข้อเกือบทั้งหมดด้านล่างจึงมาจากสื่อข่าวการเงิน/คริปโตไทย-อังกฤษที่รายงานตรงกันหลายแหล่งอิสระ (จึงมีความน่าเชื่อถือระดับหนึ่ง) แต่ควรตรวจทานกับต้นฉบับทางการอีกครั้งก่อนใช้อ้างอิงผูกพันทางกฎหมาย เลขที่ "ทน." ระดับคณะกรรมการกำกับตลาดทุนที่อาจเป็นฐานหลักการกว้างยังไม่พบยืนยัน มีเพียงเลข "สธ. 9/2569" ระดับสำนักงานที่ยืนยันได้จาก 2 แหล่งอิสระ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Noto Sans Thai" w:cs="Noto Sans Tha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