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color w:val="0B2545"/>
          <w:sz w:val="36"/>
        </w:rPr>
        <w:t>เอกสารสรุปและเปรียบเทียบข้อกฎหมายเทคโนโลยีสารสนเทศ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/>
          <w:sz w:val="26"/>
        </w:rPr>
        <w:t>ระเบียบสำนักนายกรัฐมนตรีว่าด้วยการแบ่งปันข้อมูลดิจิทัล พ.ศ. 2569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sz w:val="21"/>
        </w:rPr>
        <w:t>สถานะ: ประกาศใช้แล้ว  |  หมวดหมู่: B — Indirect Tech Impact (Digital Government / Data Governance)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sz w:val="21"/>
        </w:rPr>
        <w:t>เอกสารอ้างอิง: ประกาศราชกิจจานุเบกษา 4 กันยายน 2569 (ครม. อนุมัติร่าง 5 พ.ค. 2569)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sz w:val="21"/>
        </w:rPr>
        <w:t>วันที่มีผลใช้บังคับ: 5 กันยายน 2569 (วันถัดจากวันประกาศ) — หน่วยงานนำร่อง 4 แห่งมีกรอบเวลา 60 วันในการเชื่อมโยงข้อมูล และตอบสนองคำขอข้อมูลภายในกรอบเวลา 90 วัน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sz w:val="21"/>
        </w:rPr>
        <w:t>หน่วยงานกำกับดูแล: สถาบันข้อมูลขนาดใหญ่ (BDI) และสำนักงานคณะกรรมการพัฒนาระบบราชการ</w:t>
      </w:r>
    </w:p>
    <w:p>
      <w:r>
        <w:br/>
      </w:r>
    </w:p>
    <w:p>
      <w:pPr>
        <w:pStyle w:val="Heading1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color w:val="0B2545"/>
          <w:sz w:val="32"/>
        </w:rPr>
        <w:t>1. วัตถุประสงค์และเหตุผลความจำเป็น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sz w:val="22"/>
        </w:rPr>
        <w:t>กำหนดให้หน่วยงานรัฐเชื่อมโยง/แบ่งปันข้อมูลดิจิทัลผ่าน "ระบบกลาง" ที่บริหารโดย BDI ผ่านแพลตฟอร์ม D2 วางกรอบเหตุปฏิเสธการแบ่งปันข้อมูล 4 กรณี และกลไกคณะกรรมการที่นายกรัฐมนตรีเป็นประธาน โดยมีข้อขัดแย้งเชิงลำดับศักดิ์กฎหมายกับ PDPA ที่ PDPC ตั้งข้อสังเกตเอง</w:t>
      </w:r>
    </w:p>
    <w:p>
      <w:pPr>
        <w:pStyle w:val="Heading1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color w:val="0B2545"/>
          <w:sz w:val="32"/>
        </w:rPr>
        <w:t>2. ตารางเปรียบเทียบเชิงลึก: กฎหมายฉบับเดิม vs กฎหมายฉบับใหม่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B2545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b/>
                <w:color w:val="FFFFFF"/>
                <w:sz w:val="20"/>
              </w:rPr>
              <w:t>ประเด็นเปรียบเทียบ (มาตรา)</w:t>
            </w:r>
          </w:p>
        </w:tc>
        <w:tc>
          <w:tcPr>
            <w:tcW w:type="dxa" w:w="3324"/>
            <w:shd w:val="clear" w:color="auto" w:fill="0B2545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b/>
                <w:color w:val="FFFFFF"/>
                <w:sz w:val="20"/>
              </w:rPr>
              <w:t>กฎหมาย/หลักเกณฑ์เดิม</w:t>
            </w:r>
          </w:p>
        </w:tc>
        <w:tc>
          <w:tcPr>
            <w:tcW w:type="dxa" w:w="3324"/>
            <w:shd w:val="clear" w:color="auto" w:fill="0B2545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b/>
                <w:color w:val="FFFFFF"/>
                <w:sz w:val="20"/>
              </w:rPr>
              <w:t>กฎหมาย/หลักเกณฑ์ใหม่</w:t>
            </w:r>
          </w:p>
        </w:tc>
      </w:tr>
      <w:tr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การเรียกเอกสารซ้ำจากประชาชน</w:t>
            </w:r>
          </w:p>
        </w:tc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แต่ละหน่วยงานเก็บข้อมูลแยกกัน (data silo)</w:t>
            </w:r>
          </w:p>
        </w:tc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เชื่อมโยงผ่านระบบกลาง/แพลตฟอร์ม D2 ลดการเรียกเอกสารซ้ำ</w:t>
            </w:r>
          </w:p>
        </w:tc>
      </w:tr>
      <w:tr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เหตุปฏิเสธการแบ่งปันข้อมูล</w:t>
            </w:r>
          </w:p>
        </w:tc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ไม่มีกรอบชัดเจนเป็นลายลักษณ์อักษร</w:t>
            </w:r>
          </w:p>
        </w:tc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กำหนด 4 กรณีชัดเจน (ความมั่นคง/ข้อมูลส่วนบุคคล/ข้อมูลลับราชการ/กระทบคดีศาล) ตามข้อ 7-10</w:t>
            </w:r>
          </w:p>
        </w:tc>
      </w:tr>
      <w:tr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กลไกกำกับดูแล/ไกล่เกลี่ยข้อพิพาท</w:t>
            </w:r>
          </w:p>
        </w:tc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ไม่มีองค์กรกลาง</w:t>
            </w:r>
          </w:p>
        </w:tc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คณะกรรมการส่งเสริมการแบ่งปันข้อมูลดิจิทัล นายกฯ/รองนายกฯเป็นประธาน ทำหน้าที่ไกล่เกลี่ย</w:t>
            </w:r>
          </w:p>
        </w:tc>
      </w:tr>
      <w:tr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สถานะทางกฎหมายเทียบ PDPA</w:t>
            </w:r>
          </w:p>
        </w:tc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ไม่มีประเด็น</w:t>
            </w:r>
          </w:p>
        </w:tc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ระเบียบ (กม.ลำดับรอง) ขัดแย้งเชิงลำดับศักดิ์กับ PDPA (พ.ร.บ.) ในการส่งข้อมูลอ่อนไหว — ต้องมีร่าง พ.ร.ฎ.ยกเว้น ม.21(2) รองรับ</w:t>
            </w:r>
          </w:p>
        </w:tc>
      </w:tr>
    </w:tbl>
    <w:p>
      <w:pPr>
        <w:spacing w:after="4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/>
          <w:sz w:val="22"/>
        </w:rPr>
        <w:t>หมายเหตุการเปลี่ยนแปลงบทกำหนดโทษ: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sz w:val="21"/>
        </w:rPr>
        <w:t>ยังไม่มีบทลงโทษเฉพาะ — อยู่ระหว่างพิจารณาร่าง พ.ร.ฎ.ยกเว้น PDPA ม.21(2) ที่ PDPC คัดค้าน</w:t>
      </w:r>
    </w:p>
    <w:p>
      <w:pPr>
        <w:pStyle w:val="Heading1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color w:val="0B2545"/>
          <w:sz w:val="32"/>
        </w:rPr>
        <w:t>3. การบูรณาการและความสัมพันธ์กับกฎหมายอื่น</w:t>
      </w:r>
    </w:p>
    <w:p>
      <w:pPr>
        <w:pStyle w:val="ListBullet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sz w:val="21"/>
        </w:rPr>
        <w:t>พระราชบัญญัติคุ้มครองข้อมูลส่วนบุคคล พ.ศ. 2562 (โดยเฉพาะมาตรา 21(2) และมาตรา 26) — จุดขัดแย้งเชิงลำดับศักดิ์กฎหมายที่ PDPC ยกขึ้นเองผ่านบทความทางการ</w:t>
      </w:r>
    </w:p>
    <w:p>
      <w:pPr>
        <w:pStyle w:val="ListBullet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sz w:val="21"/>
        </w:rPr>
        <w:t>พระราชบัญญัติการบริหารงานและการให้บริการภาครัฐผ่านระบบดิจิทัล พ.ศ. 2562</w:t>
      </w:r>
    </w:p>
    <w:p>
      <w:pPr>
        <w:pStyle w:val="ListBullet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sz w:val="21"/>
        </w:rPr>
        <w:t>พระราชบัญญัติการอำนวยความสะดวกในการพิจารณาอนุญาตและการให้บริการแก่ประชาชน พ.ศ. 2569 — เสริมหลักห้ามเรียกเอกสารซ้ำ (ม.11) ให้เป็นจริงในทางปฏิบัติ (กฎหมายคู่ขนาน ไม่มีการอ้างอิงไขว้โดยตรง)</w:t>
      </w:r>
    </w:p>
    <w:p>
      <w:pPr>
        <w:pStyle w:val="ListBullet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sz w:val="21"/>
        </w:rPr>
        <w:t>พระราชบัญญัติข้อมูลข่าวสารของราชการ พ.ศ. 2540 — เป็นฐานยกเว้นการเปิดเผยข้อมูลลับตามข้อ 9</w:t>
      </w:r>
    </w:p>
    <w:p>
      <w:pPr>
        <w:pStyle w:val="ListBullet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sz w:val="21"/>
        </w:rPr>
        <w:t>พระราชกฤษฎีกาจัดตั้ง DGA (ฉบับที่ 2) พ.ศ. 2569 — DGA และ BDI เป็นสองหน่วยงานดิจิทัลภาครัฐหลักที่ทำงานคู่ขนานกัน ยังไม่ยืนยันว่าระบบทั้งสองถูกรวมเป็นหนึ่งเดียว</w:t>
      </w:r>
    </w:p>
    <w:p>
      <w:pPr>
        <w:pStyle w:val="Heading1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color w:val="0B2545"/>
          <w:sz w:val="32"/>
        </w:rPr>
        <w:t>4. ผลกระทบต่อผู้มีส่วนได้ส่วนเสีย</w:t>
      </w:r>
    </w:p>
    <w:p>
      <w:pPr>
        <w:pStyle w:val="Heading2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color w:val="FF6600"/>
          <w:sz w:val="26"/>
        </w:rPr>
        <w:t>4.1 ภาระหน้าที่ของบริษัทไอที/ผู้พัฒนาซอฟต์แวร์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sz w:val="21"/>
        </w:rPr>
        <w:t>ผู้พัฒนา Data Exchange / API Gateway ภาครัฐต้องออกแบบระบบเชื่อมโยงแบบ federated (ไม่รวมข้อมูลไว้จุดเดียว) ตามสถาปัตยกรรม "National Data Backbone" ที่ BDI วางไว้ พร้อมชั้น pseudonymisation ตามที่แพลตฟอร์ม D2 กำหนด หน่วยงานรัฐและผู้รับจ้างพัฒนาระบบต้องจัดทำ Data Mapping/RoPA, DPIA และ Data Sharing Agreement (DSA) กับ BDI ก่อนส่งข้อมูลที่เป็นข้อมูลส่วนบุคคล/อ่อนไหว เพื่อลดความเสี่ยงทางกฎหมายตาม PDPA ที่ PDPC เตือนไว้</w:t>
      </w:r>
    </w:p>
    <w:p>
      <w:pPr>
        <w:pStyle w:val="Heading2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color w:val="FF6600"/>
          <w:sz w:val="26"/>
        </w:rPr>
        <w:t>4.2 สิทธิและผลกระทบต่อประชาชนผู้ใช้งาน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sz w:val="21"/>
        </w:rPr>
        <w:t>รับบริการรัฐเร็วขึ้น ไม่ต้องยื่นเอกสารซ้ำ แต่มีความเสี่ยงด้านข้อมูลส่วนบุคคลที่ PDPC เฝ้าระวัง</w:t>
      </w:r>
    </w:p>
    <w:p>
      <w:pPr>
        <w:pStyle w:val="Heading1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color w:val="0B2545"/>
          <w:sz w:val="32"/>
        </w:rPr>
        <w:t>5. รายการสิ่งที่ต้องดำเนินการทันที (Immediate Compliance Checklist)</w:t>
      </w:r>
    </w:p>
    <w:p>
      <w:pPr>
        <w:pStyle w:val="ListNumber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sz w:val="21"/>
        </w:rPr>
        <w:t>จัดทำ Data Mapping &amp; RoPA (Record of Processing Activities) ระบุว่าข้อมูลใดใน 118 ชุดข้อมูลเป็นข้อมูลส่วนบุคคล/อ่อนไหว</w:t>
      </w:r>
    </w:p>
    <w:p>
      <w:pPr>
        <w:pStyle w:val="ListNumber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sz w:val="21"/>
        </w:rPr>
        <w:t>จัดทำ DPIA (Data Protection Impact Assessment) ก่อนส่งข้อมูลผ่านระบบกลาง</w:t>
      </w:r>
    </w:p>
    <w:p>
      <w:pPr>
        <w:pStyle w:val="ListNumber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sz w:val="21"/>
        </w:rPr>
        <w:t>ปรับปรุง Privacy Notice แจ้งวัตถุประสงค์การใช้ข้อมูลเพื่อรับมือภัยพิบัติสาธารณะ</w:t>
      </w:r>
    </w:p>
    <w:p>
      <w:pPr>
        <w:pStyle w:val="ListNumber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sz w:val="21"/>
        </w:rPr>
        <w:t>จัดทำ Data Sharing Agreement (DSA) กับ BDI ระบุมาตรการความปลอดภัยและบทบาท (Data Processor หรือ Joint Controller)</w:t>
      </w:r>
    </w:p>
    <w:p>
      <w:pPr>
        <w:pStyle w:val="ListNumber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sz w:val="21"/>
        </w:rPr>
        <w:t>ตรวจสอบสถานะร่าง พ.ร.ฎ.ยกเว้น PDPA มาตรา 21(2) ว่าประกาศใช้แล้วหรือยังก่อนส่งข้อมูลอ่อนไหว</w:t>
      </w:r>
    </w:p>
    <w:p/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color w:val="6B7280"/>
          <w:sz w:val="18"/>
        </w:rPr>
        <w:t>แหล่งข้อมูล: policywatch.thaipbs.or.th/article/government-318; thansettakij.com/economy/668232,668376; thaipost.net/economy-news/1066230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color w:val="6B7280"/>
          <w:sz w:val="18"/>
        </w:rPr>
        <w:t>หมายเหตุการตรวจสอบแหล่งที่มา: ไม่พบตัวบทฉบับเต็มที่เข้าถึงได้แบบสาธารณะบนเว็บไซต์ราชกิจจานุเบกษาในการสืบค้นครั้งนี้ ข้อมูลระดับข้อด้านล่างอ้างอิงจากรายงานของ policywatch.thaipbs.or.th ซึ่งละเอียดที่สุดที่พบ (ถึงระดับเลขข้อ 1-19) แต่ยังเป็นรายงานทุติยภูมิ ตัวเลของค์ประกอบคณะกรรมการ (7 หรือ 9 คน) ไม่ตรงกันระหว่างแหล่งข่าว ควรตรวจสอบกับต้นฉบับราชกิจจานุเบกษาอีกครั้งก่อนใช้อ้างอิงทางกฎหมายที่มีผลผูกพัน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Noto Sans Thai" w:cs="Noto Sans Tha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