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6"/>
        </w:rPr>
        <w:t>เอกสารสรุปและเปรียบเทียบข้อกฎหมายเทคโนโลยีสารสนเทศ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/>
          <w:sz w:val="26"/>
        </w:rPr>
        <w:t>(ร่าง) พระราชบัญญัติว่าด้วยปัญญาประดิษฐ์ พ.ศ. ....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สถานะ: อยู่ระหว่างร่าง/รับฟังความเห็น (DRAFT)  |  หมวดหมู่: A — Direct Tech Impact (AI Governance)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เอกสารอ้างอิง: ยังไม่ประกาศในราชกิจจานุเบกษา — ร่างรอบล่าสุดเผยแพร่ ~2 ก.ค. 2569 เปิดรับฟังความเห็นถึงราวต้น ส.ค. 2569 (รอบแรกเป็นร่างหลักการ มิ.ย. 2568)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วันที่มีผลใช้บังคับ: ยังไม่มีวันบังคับใช้ที่แน่นอน — รัฐบาลตั้งเป้าผ่านกฎหมายภายในเดือนกันยายน 2569 แต่ ณ วันที่จัดทำรายงาน (25 ก.ย. 2569) ยังไม่ผ่าน ครม. คาดหลังผ่าน ครม.อาจใช้เวลาอีก 6-24 เดือนกว่าจะประกาศใช้จริง; หากประกาศใช้ มาตรการเปิดตัวผลิตภัณฑ์ AI มีผลทันที ส่วนมาตรการควบคุมความเสี่ยง/กำกับดูแลมีผล 180 วันหลังประกาศ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หน่วยงานกำกับดูแล: สำนักงานพัฒนาธุรกรรมทางอิเล็กทรอนิกส์ (ETDA) เป็นผู้ประสานงานกลาง (ยังไม่ตั้งหน่วยงานกำกับ AI เฉพาะ)</w:t>
      </w:r>
    </w:p>
    <w:p>
      <w:r>
        <w:br/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1. วัตถุประสงค์และเหตุผลความจำเป็น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2"/>
        </w:rPr>
        <w:t>วางกรอบกำกับดูแล AI แบบอิงความเสี่ยง (risk-based) คล้าย EU AI Act แบ่งเป็น AI ต้องห้าม/ความเสี่ยงสูง/ระบบที่ถูกกำหนดเฉพาะ กำหนดหน้าที่ผู้ให้บริการ-ผู้ใช้งาน ระบบติดป้ายเนื้อหาที่สร้างโดย AI 4 ระดับ และตัวแทนในประเทศสำหรับผู้ให้บริการต่างชาติ</w:t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2. ตารางเปรียบเทียบเชิงลึก: กฎหมายฉบับเดิม vs กฎหมายฉบับใหม่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B2545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20"/>
              </w:rPr>
              <w:t>ประเด็นเปรียบเทียบ (มาตรา)</w:t>
            </w:r>
          </w:p>
        </w:tc>
        <w:tc>
          <w:tcPr>
            <w:tcW w:type="dxa" w:w="3324"/>
            <w:shd w:val="clear" w:color="auto" w:fill="0B2545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20"/>
              </w:rPr>
              <w:t>กฎหมาย/หลักเกณฑ์เดิม</w:t>
            </w:r>
          </w:p>
        </w:tc>
        <w:tc>
          <w:tcPr>
            <w:tcW w:type="dxa" w:w="3324"/>
            <w:shd w:val="clear" w:color="auto" w:fill="0B2545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20"/>
              </w:rPr>
              <w:t>กฎหมาย/หลักเกณฑ์ใหม่</w:t>
            </w:r>
          </w:p>
        </w:tc>
      </w:tr>
      <w:tr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กรอบการกำกับดูแล AI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ไม่มีกฎหมายเฉพาะ อาศัยกฎหมายทั่วไป (PDPA/พ.ร.บ.คอมพิวเตอร์)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ร่างกฎหมายเฉพาะแบบ risk-based (ต้องห้าม/เสี่ยงสูง/ถูกกำหนดเฉพาะ)</w:t>
            </w:r>
          </w:p>
        </w:tc>
      </w:tr>
      <w:tr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การติดป้ายเนื้อหา AI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ไม่มีข้อบังคับ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ระบบ 4 ระดับความโปร่งใส ครอบคลุม deepfake/เนื้อหาสังเคราะห์</w:t>
            </w:r>
          </w:p>
        </w:tc>
      </w:tr>
      <w:tr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ผู้ให้บริการต่างชาติ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ไม่มีข้อบังคับเฉพาะ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ต้องมีตัวแทน/ผู้ประสานงานในประเทศ ขอบเขตนอกอาณาเขต (extraterritorial)</w:t>
            </w:r>
          </w:p>
        </w:tc>
      </w:tr>
      <w:tr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บทลงโทษ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ไม่มีเฉพาะ AI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ค่าปรับปกครอง 1-5 ล้านบาท/ครั้ง (แนวทางยังไม่นิ่ง) + ความรับผิดร่วมแบบเข้มงวด</w:t>
            </w:r>
          </w:p>
        </w:tc>
      </w:tr>
    </w:tbl>
    <w:p>
      <w:pPr>
        <w:spacing w:after="4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/>
          <w:sz w:val="22"/>
        </w:rPr>
        <w:t>หมายเหตุการเปลี่ยนแปลงบทกำหนดโทษ: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ค่าปรับปกครองยังอยู่ระหว่างศึกษารูปแบบ (ตายตัว 1-5 ล้านบาท vs อิงรายได้) — ยังไม่ผ่าน ครม.</w:t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3. การบูรณาการและความสัมพันธ์กับกฎหมายอื่น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พระราชบัญญัติคุ้มครองข้อมูลส่วนบุคคล พ.ศ. 2562 — lawful basis/purpose limitation/data subject rights ตลอดวงจรชีวิต AI; PDPC ออกแนวปฏิบัติกำหนด DPIA สำหรับ AI ความเสี่ยงสูง (ก.พ. 2569)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พระราชบัญญัติว่าด้วยการกระทำความผิดเกี่ยวกับคอมพิวเตอร์ พ.ศ. 2560 — จำกัดเนื้อหาที่สร้างโดย AI ที่เป็นอันตราย/เท็จ/หมิ่นประมาท/ลามก และครอบคลุมการทำ web scraping ข้อมูลฝึกโมเดล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(ร่าง) พระราชกฤษฎีกาการประกอบธุรกิจที่ใช้ระบบ AI (ONDE, เดิม พ.ศ. 2565) — แทร็กคู่ขนานที่กำลังถูกรวม/ประสานเป็นกรอบเดียวกับ พ.ร.บ. AI หลัก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EU AI Act — ต้นแบบเชิงโครงสร้าง risk-based แต่ไทยมี 3 จุดที่ "เกินกว่า" EU: ความรับผิดร่วมเข้มงวด, data localization สำหรับบริการสำคัญระดับชาติ, เงื่อนไขสัญญาภาครัฐกับผู้ขาย AI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ประมวลกฎหมายอาญา — บทลงโทษ deepfake ลามกอนาจารที่มีอยู่แล้ว (จำคุกสูงสุด 5 ปี) ทำงานคู่ขนานกับร่างกฎหมาย AI ไม่ใช่มาแทนที่</w:t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4. ผลกระทบต่อผู้มีส่วนได้ส่วนเสีย</w:t>
      </w:r>
    </w:p>
    <w:p>
      <w:pPr>
        <w:pStyle w:val="Heading2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FF6600"/>
          <w:sz w:val="26"/>
        </w:rPr>
        <w:t>4.1 ภาระหน้าที่ของบริษัทไอที/ผู้พัฒนาซอฟต์แวร์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ผู้พัฒนา/ผู้ให้บริการ AI ทุกระดับ (developer, provider, deployer) ต้องประเมินระดับความเสี่ยงของระบบตนเองล่วงหน้า เตรียมกลไก human oversight, การเก็บ log, และการฝังเครื่องหมาย machine-readable ในผลลัพธ์ ผู้ให้บริการต่างชาติที่ให้บริการผู้ใช้ในไทยต้องเตรียมแต่งตั้งตัวแทนในประเทศที่อาจรับความเสี่ยงทางกฎหมายแบบไม่จำกัด ธุรกิจที่ใช้ AI ในภาคการเงิน สุขภาพ และการจ้างงานควรเตรียมกรอบ Ethical/Risk Impact Assessment ล่วงหน้าเนื่องจากมีแนวโน้มสูงที่จะถูกจัดเป็น AI ความเสี่ยงสูง</w:t>
      </w:r>
    </w:p>
    <w:p>
      <w:pPr>
        <w:pStyle w:val="Heading2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FF6600"/>
          <w:sz w:val="26"/>
        </w:rPr>
        <w:t>4.2 สิทธิและผลกระทบต่อประชาชนผู้ใช้งาน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คุ้มครองจาก AI เลือกปฏิบัติ ตรวจสอบที่มาเนื้อหา AI ได้ผ่านระบบติดป้าย 4 ระดับ</w:t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5. รายการสิ่งที่ต้องดำเนินการทันที (Immediate Compliance Checklist)</w:t>
      </w:r>
    </w:p>
    <w:p>
      <w:pPr>
        <w:pStyle w:val="ListNumber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จัดทำ inventory ระบบ AI ที่ใช้งานอยู่ พร้อมประเมินระดับความเสี่ยงเบื้องต้นตามกรอบ 3 ระดับ</w:t>
      </w:r>
    </w:p>
    <w:p>
      <w:pPr>
        <w:pStyle w:val="ListNumber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เตรียมกลไก human oversight และระบบเก็บ log ย้อนหลังอย่างน้อย 6 เดือนสำหรับระบบที่มีแนวโน้มเป็น high-risk</w:t>
      </w:r>
    </w:p>
    <w:p>
      <w:pPr>
        <w:pStyle w:val="ListNumber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ผู้ให้บริการต่างชาติ: เตรียมแผนแต่งตั้งตัวแทน/ผู้ประสานงานในประเทศไทย</w:t>
      </w:r>
    </w:p>
    <w:p>
      <w:pPr>
        <w:pStyle w:val="ListNumber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เตรียมระบบฝังเครื่องหมาย machine-readable และการเปิดเผยแหล่งที่มาสำหรับเนื้อหาที่สร้างโดย AI</w:t>
      </w:r>
    </w:p>
    <w:p>
      <w:pPr>
        <w:pStyle w:val="ListNumber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ติดตามการประกาศตัวเลขค่าปรับที่แน่นอน (ตายตัว vs อิงรายได้) ก่อนกฎหมายผ่าน ครม.</w:t>
      </w:r>
    </w:p>
    <w:p/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color w:val="6B7280"/>
          <w:sz w:val="18"/>
        </w:rPr>
        <w:t>แหล่งข้อมูล: thansettakij.com/economy/664191; bangkokbiznews.com/tech/gadget/1183826,1184587; nortonrosefulbright.com; rajahtannasia.com; mgronline.com/cyberbiz/detail/9690000087997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color w:val="6B7280"/>
          <w:sz w:val="18"/>
        </w:rPr>
        <w:t>หมายเหตุการตรวจสอบแหล่งที่มา: ร่างกฎหมายมีอย่างน้อย 2 รอบที่แตกต่างกัน (หลักการ มิ.ย. 2568 กับรายละเอียด ก.ค. 2569) ซึ่งสื่อมักปนกัน เอกสารร่างฉบับเต็มยังไม่เผยแพร่เป็น PDF สาธารณะ ตัวเลขจำนวนหมวด (5 หรือ 7 หมวด) และโครงสร้างค่าปรับ (ตายตัวหรืออิงรายได้) ขัดแย้งกันระหว่างแหล่งข่าว/ช่วงเวลา สะท้อนว่าร่างยังอยู่ระหว่างแก้ไขต่อเนื่อง ทุกจุดในหัวข้อนี้จึงเป็น "draft/ยังไม่นิ่ง" (subject to change)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Noto Sans Thai" w:cs="Noto Sans Tha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