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left"/>
        <w:autoSpaceDE w:val="0"/>
        <w:autoSpaceDN w:val="0"/>
      </w:pPr>
      <w:r>
        <w:rPr>
          <w:rFonts w:ascii="Liberation Sans" w:hAnsi="Liberation Sans" w:eastAsia="Noto Sans Thai" w:cs="Noto Sans Thai"/>
          <w:color w:val="0B2545"/>
          <w:sz w:val="36"/>
        </w:rPr>
        <w:t>เอกสารสรุปและเปรียบเทียบข้อกฎหมายเทคโนโลยีสารสนเทศ</w:t>
      </w:r>
    </w:p>
    <w:p>
      <w:pPr>
        <w:spacing w:after="120"/>
        <w:jc w:val="left"/>
        <w:autoSpaceDE w:val="0"/>
        <w:autoSpaceDN w:val="0"/>
      </w:pPr>
      <w:r>
        <w:rPr>
          <w:rFonts w:ascii="Liberation Sans" w:hAnsi="Liberation Sans" w:eastAsia="Noto Sans Thai" w:cs="Noto Sans Thai"/>
          <w:b/>
          <w:sz w:val="26"/>
        </w:rPr>
        <w:t>(ร่าง) พระราชกฤษฎีกาการประกอบธุรกิจบริการแพลตฟอร์มดิจิทัลที่ต้องแจ้งให้ทราบ (ฉบับปรับปรุง)</w:t>
      </w:r>
    </w:p>
    <w:p>
      <w:pPr>
        <w:spacing w:after="120"/>
        <w:jc w:val="left"/>
        <w:autoSpaceDE w:val="0"/>
        <w:autoSpaceDN w:val="0"/>
      </w:pPr>
      <w:r>
        <w:rPr>
          <w:rFonts w:ascii="Liberation Sans" w:hAnsi="Liberation Sans" w:eastAsia="Noto Sans Thai" w:cs="Noto Sans Thai"/>
          <w:b w:val="0"/>
          <w:sz w:val="21"/>
        </w:rPr>
        <w:t>สถานะ: อยู่ระหว่างทบทวนร่าง (DRAFT)  |  หมวดหมู่: A — Direct Tech Impact (Digital Platform Regulation)</w:t>
      </w:r>
    </w:p>
    <w:p>
      <w:pPr>
        <w:spacing w:after="120"/>
        <w:jc w:val="left"/>
        <w:autoSpaceDE w:val="0"/>
        <w:autoSpaceDN w:val="0"/>
      </w:pPr>
      <w:r>
        <w:rPr>
          <w:rFonts w:ascii="Liberation Sans" w:hAnsi="Liberation Sans" w:eastAsia="Noto Sans Thai" w:cs="Noto Sans Thai"/>
          <w:b w:val="0"/>
          <w:sz w:val="21"/>
        </w:rPr>
        <w:t>เอกสารอ้างอิง: ยังไม่ประกาศ — ข่าวแตก 9 ก.ย. 2569 ว่า ETDA อยู่ระหว่างทบทวนร่าง คาดส่งกระทรวงดีอี (MDES) กลางเดือนกันยายน 2569</w:t>
      </w:r>
    </w:p>
    <w:p>
      <w:pPr>
        <w:spacing w:after="120"/>
        <w:jc w:val="left"/>
        <w:autoSpaceDE w:val="0"/>
        <w:autoSpaceDN w:val="0"/>
      </w:pPr>
      <w:r>
        <w:rPr>
          <w:rFonts w:ascii="Liberation Sans" w:hAnsi="Liberation Sans" w:eastAsia="Noto Sans Thai" w:cs="Noto Sans Thai"/>
          <w:b w:val="0"/>
          <w:sz w:val="21"/>
        </w:rPr>
        <w:t>วันที่มีผลใช้บังคับ: ยังไม่มีวันบังคับใช้ — เป็น พ.ร.ฎ. (กม.ลำดับรอง) ไม่ต้องผ่านสภา/รับฟังความเห็นตาม รธน.ม.77 แบบเดียวกับ พ.ร.บ. กระบวนการหลัง MDES ยังไม่มีกำหนดเวลาที่ยืนยันได้</w:t>
      </w:r>
    </w:p>
    <w:p>
      <w:pPr>
        <w:spacing w:after="120"/>
        <w:jc w:val="left"/>
        <w:autoSpaceDE w:val="0"/>
        <w:autoSpaceDN w:val="0"/>
      </w:pPr>
      <w:r>
        <w:rPr>
          <w:rFonts w:ascii="Liberation Sans" w:hAnsi="Liberation Sans" w:eastAsia="Noto Sans Thai" w:cs="Noto Sans Thai"/>
          <w:b w:val="0"/>
          <w:sz w:val="21"/>
        </w:rPr>
        <w:t>หน่วยงานกำกับดูแล: สำนักงานพัฒนาธุรกรรมทางอิเล็กทรอนิกส์ (ETDA) และกระทรวงดิจิทัลเพื่อเศรษฐกิจและสังคม (MDES)</w:t>
      </w:r>
    </w:p>
    <w:p>
      <w:r>
        <w:br/>
      </w:r>
    </w:p>
    <w:p>
      <w:pPr>
        <w:pStyle w:val="Heading1"/>
        <w:jc w:val="left"/>
        <w:autoSpaceDE w:val="0"/>
        <w:autoSpaceDN w:val="0"/>
      </w:pPr>
      <w:r>
        <w:rPr>
          <w:rFonts w:ascii="Liberation Sans" w:hAnsi="Liberation Sans" w:eastAsia="Noto Sans Thai" w:cs="Noto Sans Thai"/>
          <w:color w:val="0B2545"/>
          <w:sz w:val="32"/>
        </w:rPr>
        <w:t>1. วัตถุประสงค์และเหตุผลความจำเป็น</w:t>
      </w:r>
    </w:p>
    <w:p>
      <w:pPr>
        <w:spacing w:after="120"/>
        <w:jc w:val="left"/>
        <w:autoSpaceDE w:val="0"/>
        <w:autoSpaceDN w:val="0"/>
      </w:pPr>
      <w:r>
        <w:rPr>
          <w:rFonts w:ascii="Liberation Sans" w:hAnsi="Liberation Sans" w:eastAsia="Noto Sans Thai" w:cs="Noto Sans Thai"/>
          <w:b w:val="0"/>
          <w:sz w:val="22"/>
        </w:rPr>
        <w:t>ทบทวนแก้ไข พ.ร.ฎ. แพลตฟอร์มดิจิทัล พ.ศ. 2565 โดยเปลี่ยนโฟกัสจาก "การกำกับตลาด/การแข่งขัน" (ตัดออกเพราะซ้ำกับอำนาจ กขค.) ไปเป็น "การจัดการเนื้อหาและความเสี่ยงที่กระทบผู้ใช้" พร้อมศึกษาสูตรค่าปรับอิงรายได้แบบเวียดนาม-จีน หลีกเลี่ยงสูตร EU 6%</w:t>
      </w:r>
    </w:p>
    <w:p>
      <w:pPr>
        <w:pStyle w:val="Heading1"/>
        <w:jc w:val="left"/>
        <w:autoSpaceDE w:val="0"/>
        <w:autoSpaceDN w:val="0"/>
      </w:pPr>
      <w:r>
        <w:rPr>
          <w:rFonts w:ascii="Liberation Sans" w:hAnsi="Liberation Sans" w:eastAsia="Noto Sans Thai" w:cs="Noto Sans Thai"/>
          <w:color w:val="0B2545"/>
          <w:sz w:val="32"/>
        </w:rPr>
        <w:t>2. ตารางเปรียบเทียบเชิงลึก: กฎหมายฉบับเดิม vs กฎหมายฉบับใหม่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shd w:val="clear" w:color="auto" w:fill="0B2545"/>
          </w:tcPr>
          <w:p>
            <w:pPr>
              <w:jc w:val="left"/>
              <w:autoSpaceDE w:val="0"/>
              <w:autoSpaceDN w:val="0"/>
            </w:pPr>
            <w:r>
              <w:rPr>
                <w:rFonts w:ascii="Liberation Sans" w:hAnsi="Liberation Sans" w:eastAsia="Noto Sans Thai" w:cs="Noto Sans Thai"/>
                <w:b/>
                <w:color w:val="FFFFFF"/>
                <w:sz w:val="20"/>
              </w:rPr>
              <w:t>ประเด็นเปรียบเทียบ (มาตรา)</w:t>
            </w:r>
          </w:p>
        </w:tc>
        <w:tc>
          <w:tcPr>
            <w:tcW w:type="dxa" w:w="3324"/>
            <w:shd w:val="clear" w:color="auto" w:fill="0B2545"/>
          </w:tcPr>
          <w:p>
            <w:pPr>
              <w:jc w:val="left"/>
              <w:autoSpaceDE w:val="0"/>
              <w:autoSpaceDN w:val="0"/>
            </w:pPr>
            <w:r>
              <w:rPr>
                <w:rFonts w:ascii="Liberation Sans" w:hAnsi="Liberation Sans" w:eastAsia="Noto Sans Thai" w:cs="Noto Sans Thai"/>
                <w:b/>
                <w:color w:val="FFFFFF"/>
                <w:sz w:val="20"/>
              </w:rPr>
              <w:t>กฎหมาย/หลักเกณฑ์เดิม</w:t>
            </w:r>
          </w:p>
        </w:tc>
        <w:tc>
          <w:tcPr>
            <w:tcW w:type="dxa" w:w="3324"/>
            <w:shd w:val="clear" w:color="auto" w:fill="0B2545"/>
          </w:tcPr>
          <w:p>
            <w:pPr>
              <w:jc w:val="left"/>
              <w:autoSpaceDE w:val="0"/>
              <w:autoSpaceDN w:val="0"/>
            </w:pPr>
            <w:r>
              <w:rPr>
                <w:rFonts w:ascii="Liberation Sans" w:hAnsi="Liberation Sans" w:eastAsia="Noto Sans Thai" w:cs="Noto Sans Thai"/>
                <w:b/>
                <w:color w:val="FFFFFF"/>
                <w:sz w:val="20"/>
              </w:rPr>
              <w:t>กฎหมาย/หลักเกณฑ์ใหม่</w:t>
            </w:r>
          </w:p>
        </w:tc>
      </w:tr>
      <w:tr>
        <w:tc>
          <w:tcPr>
            <w:tcW w:type="dxa" w:w="3324"/>
          </w:tcPr>
          <w:p>
            <w:pPr>
              <w:jc w:val="left"/>
              <w:autoSpaceDE w:val="0"/>
              <w:autoSpaceDN w:val="0"/>
            </w:pPr>
            <w:r>
              <w:rPr>
                <w:rFonts w:ascii="Liberation Sans" w:hAnsi="Liberation Sans" w:eastAsia="Noto Sans Thai" w:cs="Noto Sans Thai"/>
                <w:sz w:val="19"/>
              </w:rPr>
              <w:t>ขอบเขตการกำกับดูแล</w:t>
            </w:r>
          </w:p>
        </w:tc>
        <w:tc>
          <w:tcPr>
            <w:tcW w:type="dxa" w:w="3324"/>
          </w:tcPr>
          <w:p>
            <w:pPr>
              <w:jc w:val="left"/>
              <w:autoSpaceDE w:val="0"/>
              <w:autoSpaceDN w:val="0"/>
            </w:pPr>
            <w:r>
              <w:rPr>
                <w:rFonts w:ascii="Liberation Sans" w:hAnsi="Liberation Sans" w:eastAsia="Noto Sans Thai" w:cs="Noto Sans Thai"/>
                <w:sz w:val="19"/>
              </w:rPr>
              <w:t>เน้นกำกับตลาด/การแข่งขัน + เนื้อหา</w:t>
            </w:r>
          </w:p>
        </w:tc>
        <w:tc>
          <w:tcPr>
            <w:tcW w:type="dxa" w:w="3324"/>
          </w:tcPr>
          <w:p>
            <w:pPr>
              <w:jc w:val="left"/>
              <w:autoSpaceDE w:val="0"/>
              <w:autoSpaceDN w:val="0"/>
            </w:pPr>
            <w:r>
              <w:rPr>
                <w:rFonts w:ascii="Liberation Sans" w:hAnsi="Liberation Sans" w:eastAsia="Noto Sans Thai" w:cs="Noto Sans Thai"/>
                <w:sz w:val="19"/>
              </w:rPr>
              <w:t>ตัดส่วนกำกับตลาดออก (ให้ กขค.ดูแล) เน้นเฉพาะการจัดการเนื้อหา/ความเสี่ยงผู้ใช้</w:t>
            </w:r>
          </w:p>
        </w:tc>
      </w:tr>
      <w:tr>
        <w:tc>
          <w:tcPr>
            <w:tcW w:type="dxa" w:w="3324"/>
          </w:tcPr>
          <w:p>
            <w:pPr>
              <w:jc w:val="left"/>
              <w:autoSpaceDE w:val="0"/>
              <w:autoSpaceDN w:val="0"/>
            </w:pPr>
            <w:r>
              <w:rPr>
                <w:rFonts w:ascii="Liberation Sans" w:hAnsi="Liberation Sans" w:eastAsia="Noto Sans Thai" w:cs="Noto Sans Thai"/>
                <w:sz w:val="19"/>
              </w:rPr>
              <w:t>บทลงโทษ</w:t>
            </w:r>
          </w:p>
        </w:tc>
        <w:tc>
          <w:tcPr>
            <w:tcW w:type="dxa" w:w="3324"/>
          </w:tcPr>
          <w:p>
            <w:pPr>
              <w:jc w:val="left"/>
              <w:autoSpaceDE w:val="0"/>
              <w:autoSpaceDN w:val="0"/>
            </w:pPr>
            <w:r>
              <w:rPr>
                <w:rFonts w:ascii="Liberation Sans" w:hAnsi="Liberation Sans" w:eastAsia="Noto Sans Thai" w:cs="Noto Sans Thai"/>
                <w:sz w:val="19"/>
              </w:rPr>
              <w:t>การถอนการรับแจ้งเท่านั้น ไม่มีค่าปรับชัดเจน</w:t>
            </w:r>
          </w:p>
        </w:tc>
        <w:tc>
          <w:tcPr>
            <w:tcW w:type="dxa" w:w="3324"/>
          </w:tcPr>
          <w:p>
            <w:pPr>
              <w:jc w:val="left"/>
              <w:autoSpaceDE w:val="0"/>
              <w:autoSpaceDN w:val="0"/>
            </w:pPr>
            <w:r>
              <w:rPr>
                <w:rFonts w:ascii="Liberation Sans" w:hAnsi="Liberation Sans" w:eastAsia="Noto Sans Thai" w:cs="Noto Sans Thai"/>
                <w:sz w:val="19"/>
              </w:rPr>
              <w:t>ศึกษาสูตรค่าปรับอิงรายได้ในประเทศไทย (ยังไม่มีตัวเลข %)</w:t>
            </w:r>
          </w:p>
        </w:tc>
      </w:tr>
      <w:tr>
        <w:tc>
          <w:tcPr>
            <w:tcW w:type="dxa" w:w="3324"/>
          </w:tcPr>
          <w:p>
            <w:pPr>
              <w:jc w:val="left"/>
              <w:autoSpaceDE w:val="0"/>
              <w:autoSpaceDN w:val="0"/>
            </w:pPr>
            <w:r>
              <w:rPr>
                <w:rFonts w:ascii="Liberation Sans" w:hAnsi="Liberation Sans" w:eastAsia="Noto Sans Thai" w:cs="Noto Sans Thai"/>
                <w:sz w:val="19"/>
              </w:rPr>
              <w:t>หน่วยงานกำกับดูแล</w:t>
            </w:r>
          </w:p>
        </w:tc>
        <w:tc>
          <w:tcPr>
            <w:tcW w:type="dxa" w:w="3324"/>
          </w:tcPr>
          <w:p>
            <w:pPr>
              <w:jc w:val="left"/>
              <w:autoSpaceDE w:val="0"/>
              <w:autoSpaceDN w:val="0"/>
            </w:pPr>
            <w:r>
              <w:rPr>
                <w:rFonts w:ascii="Liberation Sans" w:hAnsi="Liberation Sans" w:eastAsia="Noto Sans Thai" w:cs="Noto Sans Thai"/>
                <w:sz w:val="19"/>
              </w:rPr>
              <w:t>ETDA เป็นผู้รับแจ้งธุรกิจเท่านั้น</w:t>
            </w:r>
          </w:p>
        </w:tc>
        <w:tc>
          <w:tcPr>
            <w:tcW w:type="dxa" w:w="3324"/>
          </w:tcPr>
          <w:p>
            <w:pPr>
              <w:jc w:val="left"/>
              <w:autoSpaceDE w:val="0"/>
              <w:autoSpaceDN w:val="0"/>
            </w:pPr>
            <w:r>
              <w:rPr>
                <w:rFonts w:ascii="Liberation Sans" w:hAnsi="Liberation Sans" w:eastAsia="Noto Sans Thai" w:cs="Noto Sans Thai"/>
                <w:sz w:val="19"/>
              </w:rPr>
              <w:t>เสนอยกระดับ ETDA เป็นผู้กำกับเต็มรูปแบบ หรือตั้งหน่วยงานกลางร่วม (ยังไม่สรุป)</w:t>
            </w:r>
          </w:p>
        </w:tc>
      </w:tr>
      <w:tr>
        <w:tc>
          <w:tcPr>
            <w:tcW w:type="dxa" w:w="3324"/>
          </w:tcPr>
          <w:p>
            <w:pPr>
              <w:jc w:val="left"/>
              <w:autoSpaceDE w:val="0"/>
              <w:autoSpaceDN w:val="0"/>
            </w:pPr>
            <w:r>
              <w:rPr>
                <w:rFonts w:ascii="Liberation Sans" w:hAnsi="Liberation Sans" w:eastAsia="Noto Sans Thai" w:cs="Noto Sans Thai"/>
                <w:sz w:val="19"/>
              </w:rPr>
              <w:t>notice-and-takedown</w:t>
            </w:r>
          </w:p>
        </w:tc>
        <w:tc>
          <w:tcPr>
            <w:tcW w:type="dxa" w:w="3324"/>
          </w:tcPr>
          <w:p>
            <w:pPr>
              <w:jc w:val="left"/>
              <w:autoSpaceDE w:val="0"/>
              <w:autoSpaceDN w:val="0"/>
            </w:pPr>
            <w:r>
              <w:rPr>
                <w:rFonts w:ascii="Liberation Sans" w:hAnsi="Liberation Sans" w:eastAsia="Noto Sans Thai" w:cs="Noto Sans Thai"/>
                <w:sz w:val="19"/>
              </w:rPr>
              <w:t>ไม่มีกรอบเวลาชัดเจนในตัว พ.ร.ฎ.</w:t>
            </w:r>
          </w:p>
        </w:tc>
        <w:tc>
          <w:tcPr>
            <w:tcW w:type="dxa" w:w="3324"/>
          </w:tcPr>
          <w:p>
            <w:pPr>
              <w:jc w:val="left"/>
              <w:autoSpaceDE w:val="0"/>
              <w:autoSpaceDN w:val="0"/>
            </w:pPr>
            <w:r>
              <w:rPr>
                <w:rFonts w:ascii="Liberation Sans" w:hAnsi="Liberation Sans" w:eastAsia="Noto Sans Thai" w:cs="Noto Sans Thai"/>
                <w:sz w:val="19"/>
              </w:rPr>
              <w:t>21 แพลตฟอร์มหลักเข้าเกณฑ์แล้ว (แยกประกาศ มีผล 31 ธ.ค. 2568)</w:t>
            </w:r>
          </w:p>
        </w:tc>
      </w:tr>
    </w:tbl>
    <w:p>
      <w:pPr>
        <w:spacing w:after="40"/>
        <w:jc w:val="left"/>
        <w:autoSpaceDE w:val="0"/>
        <w:autoSpaceDN w:val="0"/>
      </w:pPr>
      <w:r>
        <w:rPr>
          <w:rFonts w:ascii="Liberation Sans" w:hAnsi="Liberation Sans" w:eastAsia="Noto Sans Thai" w:cs="Noto Sans Thai"/>
          <w:b/>
          <w:sz w:val="22"/>
        </w:rPr>
        <w:t>หมายเหตุการเปลี่ยนแปลงบทกำหนดโทษ:</w:t>
      </w:r>
    </w:p>
    <w:p>
      <w:pPr>
        <w:spacing w:after="120"/>
        <w:jc w:val="left"/>
        <w:autoSpaceDE w:val="0"/>
        <w:autoSpaceDN w:val="0"/>
      </w:pPr>
      <w:r>
        <w:rPr>
          <w:rFonts w:ascii="Liberation Sans" w:hAnsi="Liberation Sans" w:eastAsia="Noto Sans Thai" w:cs="Noto Sans Thai"/>
          <w:b w:val="0"/>
          <w:sz w:val="21"/>
        </w:rPr>
        <w:t>ยังไม่สรุปสูตรค่าปรับ — ศึกษารูปแบบอิงรายได้ในประเทศไทย หลีกเลี่ยงสูตร EU 6%</w:t>
      </w:r>
    </w:p>
    <w:p>
      <w:pPr>
        <w:pStyle w:val="Heading1"/>
        <w:jc w:val="left"/>
        <w:autoSpaceDE w:val="0"/>
        <w:autoSpaceDN w:val="0"/>
      </w:pPr>
      <w:r>
        <w:rPr>
          <w:rFonts w:ascii="Liberation Sans" w:hAnsi="Liberation Sans" w:eastAsia="Noto Sans Thai" w:cs="Noto Sans Thai"/>
          <w:color w:val="0B2545"/>
          <w:sz w:val="32"/>
        </w:rPr>
        <w:t>3. การบูรณาการและความสัมพันธ์กับกฎหมายอื่น</w:t>
      </w:r>
    </w:p>
    <w:p>
      <w:pPr>
        <w:pStyle w:val="ListBullet"/>
        <w:jc w:val="left"/>
        <w:autoSpaceDE w:val="0"/>
        <w:autoSpaceDN w:val="0"/>
      </w:pPr>
      <w:r>
        <w:rPr>
          <w:rFonts w:ascii="Liberation Sans" w:hAnsi="Liberation Sans" w:eastAsia="Noto Sans Thai" w:cs="Noto Sans Thai"/>
          <w:sz w:val="21"/>
        </w:rPr>
        <w:t>พระราชกฤษฎีกาการประกอบธุรกิจบริการแพลตฟอร์มดิจิทัลที่ต้องแจ้งให้ทราบ พ.ศ. 2565 (ฉบับเดิมที่กำลังแก้ไข) — ออกตามพระราชบัญญัติว่าด้วยธุรกรรมทางอิเล็กทรอนิกส์ พ.ศ. 2544</w:t>
      </w:r>
    </w:p>
    <w:p>
      <w:pPr>
        <w:pStyle w:val="ListBullet"/>
        <w:jc w:val="left"/>
        <w:autoSpaceDE w:val="0"/>
        <w:autoSpaceDN w:val="0"/>
      </w:pPr>
      <w:r>
        <w:rPr>
          <w:rFonts w:ascii="Liberation Sans" w:hAnsi="Liberation Sans" w:eastAsia="Noto Sans Thai" w:cs="Noto Sans Thai"/>
          <w:sz w:val="21"/>
        </w:rPr>
        <w:t>(ร่าง) พระราชบัญญัติเศรษฐกิจแพลตฟอร์มดิจิทัล — แทร็กคู่ขนานระดับ พ.ร.บ. ต้องผ่านสภาผู้แทนราษฎร+รับฟังความเห็นตาม รธน.ม.77 คาดเข้าสภาราวเดือนกันยายน 2569</w:t>
      </w:r>
    </w:p>
    <w:p>
      <w:pPr>
        <w:pStyle w:val="ListBullet"/>
        <w:jc w:val="left"/>
        <w:autoSpaceDE w:val="0"/>
        <w:autoSpaceDN w:val="0"/>
      </w:pPr>
      <w:r>
        <w:rPr>
          <w:rFonts w:ascii="Liberation Sans" w:hAnsi="Liberation Sans" w:eastAsia="Noto Sans Thai" w:cs="Noto Sans Thai"/>
          <w:sz w:val="21"/>
        </w:rPr>
        <w:t>กฎหมายว่าด้วยการแข่งขันทางการค้า (กขค.) — กำกับส่วนตลาด/โลจิสติกส์ที่ถูกตัดออกจาก พ.ร.ฎ.ฉบับนี้</w:t>
      </w:r>
    </w:p>
    <w:p>
      <w:pPr>
        <w:pStyle w:val="ListBullet"/>
        <w:jc w:val="left"/>
        <w:autoSpaceDE w:val="0"/>
        <w:autoSpaceDN w:val="0"/>
      </w:pPr>
      <w:r>
        <w:rPr>
          <w:rFonts w:ascii="Liberation Sans" w:hAnsi="Liberation Sans" w:eastAsia="Noto Sans Thai" w:cs="Noto Sans Thai"/>
          <w:sz w:val="21"/>
        </w:rPr>
        <w:t>พระราชบัญญัติว่าด้วยการกระทำความผิดเกี่ยวกับคอมพิวเตอร์ พ.ศ. 2560 — กลไก notice-and-takedown ที่มีอยู่เดิมทำงานคู่ขนาน</w:t>
      </w:r>
    </w:p>
    <w:p>
      <w:pPr>
        <w:pStyle w:val="Heading1"/>
        <w:jc w:val="left"/>
        <w:autoSpaceDE w:val="0"/>
        <w:autoSpaceDN w:val="0"/>
      </w:pPr>
      <w:r>
        <w:rPr>
          <w:rFonts w:ascii="Liberation Sans" w:hAnsi="Liberation Sans" w:eastAsia="Noto Sans Thai" w:cs="Noto Sans Thai"/>
          <w:color w:val="0B2545"/>
          <w:sz w:val="32"/>
        </w:rPr>
        <w:t>4. ผลกระทบต่อผู้มีส่วนได้ส่วนเสีย</w:t>
      </w:r>
    </w:p>
    <w:p>
      <w:pPr>
        <w:pStyle w:val="Heading2"/>
        <w:jc w:val="left"/>
        <w:autoSpaceDE w:val="0"/>
        <w:autoSpaceDN w:val="0"/>
      </w:pPr>
      <w:r>
        <w:rPr>
          <w:rFonts w:ascii="Liberation Sans" w:hAnsi="Liberation Sans" w:eastAsia="Noto Sans Thai" w:cs="Noto Sans Thai"/>
          <w:color w:val="FF6600"/>
          <w:sz w:val="26"/>
        </w:rPr>
        <w:t>4.1 ภาระหน้าที่ของบริษัทไอที/ผู้พัฒนาซอฟต์แวร์</w:t>
      </w:r>
    </w:p>
    <w:p>
      <w:pPr>
        <w:spacing w:after="120"/>
        <w:jc w:val="left"/>
        <w:autoSpaceDE w:val="0"/>
        <w:autoSpaceDN w:val="0"/>
      </w:pPr>
      <w:r>
        <w:rPr>
          <w:rFonts w:ascii="Liberation Sans" w:hAnsi="Liberation Sans" w:eastAsia="Noto Sans Thai" w:cs="Noto Sans Thai"/>
          <w:b w:val="0"/>
          <w:sz w:val="21"/>
        </w:rPr>
        <w:t>แพลตฟอร์มอีคอมเมิร์ซ/โซเชียลมีเดีย/มาร์เก็ตเพลสต้องเตรียมระบบ content moderation และ notice-and-takedown ให้พร้อม รวมถึงระบบยืนยันตัวตนผู้ขาย/ผู้ลงโฆษณาแบบ risk-based ภายใน 180 วันหลังประกาศ แพลตฟอร์มโลจิสติกส์ต้องเปิดตัวเลือกผู้ให้บริการขนส่งอย่างน้อย 3-5 รายตามแนวทาง กขค. ผู้ประกอบการควรเตรียมระบบรายงานรายได้ในประเทศไทยที่แม่นยำ เนื่องจากจะเป็นฐานคำนวณค่าปรับหากมีการเลือกใช้สูตรอิงรายได้</w:t>
      </w:r>
    </w:p>
    <w:p>
      <w:pPr>
        <w:pStyle w:val="Heading2"/>
        <w:jc w:val="left"/>
        <w:autoSpaceDE w:val="0"/>
        <w:autoSpaceDN w:val="0"/>
      </w:pPr>
      <w:r>
        <w:rPr>
          <w:rFonts w:ascii="Liberation Sans" w:hAnsi="Liberation Sans" w:eastAsia="Noto Sans Thai" w:cs="Noto Sans Thai"/>
          <w:color w:val="FF6600"/>
          <w:sz w:val="26"/>
        </w:rPr>
        <w:t>4.2 สิทธิและผลกระทบต่อประชาชนผู้ใช้งาน</w:t>
      </w:r>
    </w:p>
    <w:p>
      <w:pPr>
        <w:spacing w:after="120"/>
        <w:jc w:val="left"/>
        <w:autoSpaceDE w:val="0"/>
        <w:autoSpaceDN w:val="0"/>
      </w:pPr>
      <w:r>
        <w:rPr>
          <w:rFonts w:ascii="Liberation Sans" w:hAnsi="Liberation Sans" w:eastAsia="Noto Sans Thai" w:cs="Noto Sans Thai"/>
          <w:b w:val="0"/>
          <w:sz w:val="21"/>
        </w:rPr>
        <w:t>คุ้มครองจากเนื้อหาผิดกฎหมาย/สินค้าปลอมมากขึ้น ผ่านระบบยืนยันตัวตนผู้ขายที่เข้มงวดขึ้น</w:t>
      </w:r>
    </w:p>
    <w:p>
      <w:pPr>
        <w:pStyle w:val="Heading1"/>
        <w:jc w:val="left"/>
        <w:autoSpaceDE w:val="0"/>
        <w:autoSpaceDN w:val="0"/>
      </w:pPr>
      <w:r>
        <w:rPr>
          <w:rFonts w:ascii="Liberation Sans" w:hAnsi="Liberation Sans" w:eastAsia="Noto Sans Thai" w:cs="Noto Sans Thai"/>
          <w:color w:val="0B2545"/>
          <w:sz w:val="32"/>
        </w:rPr>
        <w:t>5. รายการสิ่งที่ต้องดำเนินการทันที (Immediate Compliance Checklist)</w:t>
      </w:r>
    </w:p>
    <w:p>
      <w:pPr>
        <w:pStyle w:val="ListNumber"/>
        <w:jc w:val="left"/>
        <w:autoSpaceDE w:val="0"/>
        <w:autoSpaceDN w:val="0"/>
      </w:pPr>
      <w:r>
        <w:rPr>
          <w:rFonts w:ascii="Liberation Sans" w:hAnsi="Liberation Sans" w:eastAsia="Noto Sans Thai" w:cs="Noto Sans Thai"/>
          <w:sz w:val="21"/>
        </w:rPr>
        <w:t>ประเมินว่าธุรกิจเข้าเกณฑ์ 15 ประเภทบริการและเกณฑ์รายได้/ผู้ใช้ตาม พ.ร.ฎ.2565 หรือไม่</w:t>
      </w:r>
    </w:p>
    <w:p>
      <w:pPr>
        <w:pStyle w:val="ListNumber"/>
        <w:jc w:val="left"/>
        <w:autoSpaceDE w:val="0"/>
        <w:autoSpaceDN w:val="0"/>
      </w:pPr>
      <w:r>
        <w:rPr>
          <w:rFonts w:ascii="Liberation Sans" w:hAnsi="Liberation Sans" w:eastAsia="Noto Sans Thai" w:cs="Noto Sans Thai"/>
          <w:sz w:val="21"/>
        </w:rPr>
        <w:t>เตรียมระบบ notice-and-takedown และกลไกรับเรื่องร้องเรียนให้พร้อมตามมาตรฐานที่ประกาศแล้ว</w:t>
      </w:r>
    </w:p>
    <w:p>
      <w:pPr>
        <w:pStyle w:val="ListNumber"/>
        <w:jc w:val="left"/>
        <w:autoSpaceDE w:val="0"/>
        <w:autoSpaceDN w:val="0"/>
      </w:pPr>
      <w:r>
        <w:rPr>
          <w:rFonts w:ascii="Liberation Sans" w:hAnsi="Liberation Sans" w:eastAsia="Noto Sans Thai" w:cs="Noto Sans Thai"/>
          <w:sz w:val="21"/>
        </w:rPr>
        <w:t>ติดตามร่างประกาศยืนยันตัวตนผู้ขาย/โฆษณา risk-based ที่จะมีผล 180 วันหลังประกาศ</w:t>
      </w:r>
    </w:p>
    <w:p>
      <w:pPr>
        <w:pStyle w:val="ListNumber"/>
        <w:jc w:val="left"/>
        <w:autoSpaceDE w:val="0"/>
        <w:autoSpaceDN w:val="0"/>
      </w:pPr>
      <w:r>
        <w:rPr>
          <w:rFonts w:ascii="Liberation Sans" w:hAnsi="Liberation Sans" w:eastAsia="Noto Sans Thai" w:cs="Noto Sans Thai"/>
          <w:sz w:val="21"/>
        </w:rPr>
        <w:t>หากให้บริการโลจิสติกส์บนแพลตฟอร์ม เตรียมเปิดตัวเลือกผู้ให้บริการขนส่งหลายรายตามแนวทาง กขค.</w:t>
      </w:r>
    </w:p>
    <w:p>
      <w:pPr>
        <w:pStyle w:val="ListNumber"/>
        <w:jc w:val="left"/>
        <w:autoSpaceDE w:val="0"/>
        <w:autoSpaceDN w:val="0"/>
      </w:pPr>
      <w:r>
        <w:rPr>
          <w:rFonts w:ascii="Liberation Sans" w:hAnsi="Liberation Sans" w:eastAsia="Noto Sans Thai" w:cs="Noto Sans Thai"/>
          <w:sz w:val="21"/>
        </w:rPr>
        <w:t>ติดตามการประกาศตัวเลขค่าปรับที่แน่นอนและหน่วยงานกำกับดูแลหลักที่จะสรุปในร่างที่ส่ง MDES</w:t>
      </w:r>
    </w:p>
    <w:p/>
    <w:p>
      <w:pPr>
        <w:spacing w:after="120"/>
        <w:jc w:val="left"/>
        <w:autoSpaceDE w:val="0"/>
        <w:autoSpaceDN w:val="0"/>
      </w:pPr>
      <w:r>
        <w:rPr>
          <w:rFonts w:ascii="Liberation Sans" w:hAnsi="Liberation Sans" w:eastAsia="Noto Sans Thai" w:cs="Noto Sans Thai"/>
          <w:b w:val="0"/>
          <w:color w:val="6B7280"/>
          <w:sz w:val="18"/>
        </w:rPr>
        <w:t>แหล่งข้อมูล: mgronline.com/cyberbiz/detail/9690000088258; thansettakij.com/technology/664297,666531; tilleke.com; silklegal.com</w:t>
      </w:r>
    </w:p>
    <w:p>
      <w:pPr>
        <w:spacing w:after="120"/>
        <w:jc w:val="left"/>
        <w:autoSpaceDE w:val="0"/>
        <w:autoSpaceDN w:val="0"/>
      </w:pPr>
      <w:r>
        <w:rPr>
          <w:rFonts w:ascii="Liberation Sans" w:hAnsi="Liberation Sans" w:eastAsia="Noto Sans Thai" w:cs="Noto Sans Thai"/>
          <w:b w:val="0"/>
          <w:color w:val="6B7280"/>
          <w:sz w:val="18"/>
        </w:rPr>
        <w:t>หมายเหตุการตรวจสอบแหล่งที่มา: สื่อไทยรายงานปนกันระหว่าง 2 แทร็กกฎหมาย: (ก) ร่าง พ.ร.ฎ.ฉบับปรับปรุงนี้ (แก้ พ.ร.ฎ.2565 เดิม) กับ (ข) ร่าง พ.ร.บ.เศรษฐกิจแพลตฟอร์มดิจิทัล ซึ่งเป็นกฎหมายระดับ พ.ร.บ.คนละกระบวนการ ต้องแยกให้ชัด ตัวเลข % ค่าปรับอิงรายได้และ timeline หลังส่ง MDES ยังไม่ยืนยัน</w:t>
      </w:r>
    </w:p>
    <w:sectPr w:rsidR="00FC693F" w:rsidRPr="0006063C" w:rsidSect="00034616"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Liberation Sans" w:hAnsi="Liberation Sans" w:eastAsia="Noto Sans Thai" w:cs="Noto Sans Tha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