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6"/>
        </w:rPr>
        <w:t>เอกสารสรุปและเปรียบเทียบข้อกฎหมายเทคโนโลยีสารสนเทศ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/>
          <w:sz w:val="26"/>
        </w:rPr>
        <w:t>หลักเกณฑ์การขึ้นบัญชีดำผู้กระทำความผิดหรือผู้มีพฤติการณ์เกี่ยวข้องกับอาชญากรรมทางเทคโนโลยี พ.ศ. 2569 (ไม่สามารถยืนยันการมีอยู่จริง — ดูหมายเหตุ)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สถานะ: ⚠️ ไม่สามารถยืนยันการมีอยู่จริงของเอกสารนี้  |  หมวดหมู่: A — Direct Tech Impact (Cybercrime / AML) — แต่มีปัญหาการยืนยันแหล่งที่มา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เอกสารอ้างอิง: ตามบัญชีกฎหมายทางการที่ผู้ใช้จัดหาให้ ระบุว่าประกาศราชกิจจานุเบกษา 25 สิงหาคม 2569 — การตรวจสอบเชิงลึกไม่พบหลักฐานยืนยัน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วันที่มีผลใช้บังคับ: ไม่ทราบ/ไม่สามารถยืนยัน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หน่วยงานกำกับดูแล: ธนาคารแห่งประเทศไทย (ธปท.) / ปปง. — ภายใต้ พ.ร.ก. 2566 (เอกสารบัญชีดำที่อ้างถึงยังไม่สามารถยืนยันได้)</w:t>
      </w:r>
    </w:p>
    <w:p>
      <w:r>
        <w:br/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1. วัตถุประสงค์และเหตุผลความจำเป็น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2"/>
        </w:rPr>
        <w:t>เอกสารต้นทางที่ระบุว่าเป็น "หลักเกณฑ์บัญชีดำอาชญากรรมทางเทคโนโลยี 2569" ไม่สามารถยืนยันการมีอยู่จริงได้จากการตรวจสอบเชิงลึก กลไกที่ใกล้เคียงและยืนยันได้จริงคือระบบจัดชั้น "บัญชีม้า" (Central Fraud Registry) ของ ธปท. ภายใต้ พ.ร.ก.อาชญากรรมทางเทคโนโลยี 2566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2. ตารางเปรียบเทียบเชิงลึก: กฎหมายฉบับเดิม vs กฎหมายฉบับใหม่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ประเด็นเปรียบเทียบ (มาตรา)</w:t>
            </w:r>
          </w:p>
        </w:tc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กฎหมาย/หลักเกณฑ์เดิม</w:t>
            </w:r>
          </w:p>
        </w:tc>
        <w:tc>
          <w:tcPr>
            <w:tcW w:type="dxa" w:w="3324"/>
            <w:shd w:val="clear" w:color="auto" w:fill="0B2545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b/>
                <w:color w:val="FFFFFF"/>
                <w:sz w:val="20"/>
              </w:rPr>
              <w:t>กฎหมาย/หลักเกณฑ์ใหม่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สถานะเอกสารต้นทาง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อ้างอิงในบัญชีกฎหมายว่าประกาศ 25 ส.ค. 2569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ตรวจสอบเชิงลึกแล้วไม่พบหลักฐานยืนยันการมีอยู่จริง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กลไกที่ยืนยันได้จริง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พ.ร.ก. อาชญากรรมทางเทคโนโลยี 2566 (ม.4-13)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เสริมด้วย Central Fraud Registry ของ ธปท. (เม.ย. 2568) ที่ใช้จัดชั้นบัญชีม้าจริง</w:t>
            </w:r>
          </w:p>
        </w:tc>
      </w:tr>
      <w:tr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กระบวนการอุทธรณ์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ไม่มีกลไกกึ่งตุลาการเฉพาะ</w:t>
            </w:r>
          </w:p>
        </w:tc>
        <w:tc>
          <w:tcPr>
            <w:tcW w:type="dxa" w:w="3324"/>
          </w:tcPr>
          <w:p>
            <w:pPr>
              <w:jc w:val="left"/>
              <w:autoSpaceDE w:val="0"/>
              <w:autoSpaceDN w:val="0"/>
            </w:pPr>
            <w:r>
              <w:rPr>
                <w:rFonts w:ascii="Liberation Sans" w:hAnsi="Liberation Sans" w:eastAsia="Noto Sans Thai" w:cs="Noto Sans Thai"/>
                <w:sz w:val="19"/>
              </w:rPr>
              <w:t>ยังคงเป็นกระบวนการทางปกครองผ่านธนาคาร+ตำรวจ+AOC 1441 เท่านั้น</w:t>
            </w:r>
          </w:p>
        </w:tc>
      </w:tr>
    </w:tbl>
    <w:p>
      <w:pPr>
        <w:spacing w:after="4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/>
          <w:sz w:val="22"/>
        </w:rPr>
        <w:t>หมายเหตุการเปลี่ยนแปลงบทกำหนดโทษ: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ตาม พ.ร.ก. 2566 ที่ยืนยันได้: ระงับธุรกรรมต้องสงสัยภายใน 7 วัน และรายงานพนักงานสอบสวนภายใน 72 ชม.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3. การบูรณาการและความสัมพันธ์กับกฎหมายอื่น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พระราชกำหนดมาตรการป้องกันและปราบปรามอาชญากรรมทางเทคโนโลยี พ.ศ. 2566 (แก้ไขเพิ่มเติมฉบับที่ 2 พ.ศ. 2568) — ฐานอำนาจที่ยืนยันได้จริงใกล้เคียงที่สุด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พระราชบัญญัติคุ้มครองข้อมูลส่วนบุคคล พ.ศ. 2562 — มาตรา 12 ของ พ.ร.ก. 2566 ยกเว้นการเปิดเผยข้อมูลจาก PDPA เป็นจุดที่นักกฎหมายคุ้มครองข้อมูลพึงกังวล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พระราชบัญญัติป้องกันและปราบปรามการฟอกเงิน — ฐานอำนาจ ปปง. ที่ทำงานคู่ขนาน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ประกาศ/มาตรการธนาคารแห่งประเทศไทย (Central Fraud Registry, เม.ย. 2568; เพดานถอนเงินสด 1 เม.ย. 2569)</w:t>
      </w:r>
    </w:p>
    <w:p>
      <w:pPr>
        <w:pStyle w:val="ListBullet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มาตรการ กสทช. จำกัดการถือครองซิมการ์ด 5 เลขหมาย/คน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4. ผลกระทบต่อผู้มีส่วนได้ส่วนเสีย</w:t>
      </w:r>
    </w:p>
    <w:p>
      <w:pPr>
        <w:pStyle w:val="Heading2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FF6600"/>
          <w:sz w:val="26"/>
        </w:rPr>
        <w:t>4.1 ภาระหน้าที่ของบริษัทไอที/ผู้พัฒนาซอฟต์แวร์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เนื่องจากไม่สามารถยืนยันการมีอยู่ของเอกสารต้นทางได้ จึงไม่สามารถระบุผลกระทบทางเทคนิคที่เจาะจงต่อรายการนี้โดยตรง อย่างไรก็ตาม ธนาคาร ฟินเทค ค่ายมือถือ และแพลตฟอร์มที่เกี่ยวข้องกับธุรกรรมทางการเงินยังคงมีหน้าที่ตาม พ.ร.ก. 2566 ในการเชื่อมโยงข้อมูลกับระบบ Central Fraud Registry และปฏิบัติตามกรอบเวลาระงับธุรกรรมต้องสงสัยที่ยืนยันได้จริง (7 วัน/72 ชั่วโมง)</w:t>
      </w:r>
    </w:p>
    <w:p>
      <w:pPr>
        <w:pStyle w:val="Heading2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FF6600"/>
          <w:sz w:val="26"/>
        </w:rPr>
        <w:t>4.2 สิทธิและผลกระทบต่อประชาชนผู้ใช้งาน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sz w:val="21"/>
        </w:rPr>
        <w:t>มีสิทธิอุทธรณ์หากถูกขึ้นบัญชีผิดพลาด (สายด่วน 1441 กด 2) ปลดล็อกเร็วสุดภายใน 4 ชั่วโมง</w:t>
      </w:r>
    </w:p>
    <w:p>
      <w:pPr>
        <w:pStyle w:val="Heading1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color w:val="0B2545"/>
          <w:sz w:val="32"/>
        </w:rPr>
        <w:t>5. รายการสิ่งที่ต้องดำเนินการทันที (Immediate Compliance Checklist)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ตรวจสอบกับ ปปง./กระทรวงดีอี/ราชกิจจานุเบกษาโดยตรงเพื่อยืนยันการมีอยู่จริงของเอกสารนี้ก่อนใช้อ้างอิงในรายงาน compliance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สถาบันการเงิน/ฟินเทค: ตรวจสอบการเชื่อมต่อกับระบบ Central Fraud Registry ของ ธปท. ให้เป็นปัจจุบัน</w:t>
      </w:r>
    </w:p>
    <w:p>
      <w:pPr>
        <w:pStyle w:val="ListNumber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sz w:val="21"/>
        </w:rPr>
        <w:t>เตรียมกระบวนการภายในรองรับกรอบเวลาระงับธุรกรรมต้องสงสัย (7 วัน) และรายงานพนักงานสอบสวน (72 ชั่วโมง) ตาม พ.ร.ก. 2566</w:t>
      </w:r>
    </w:p>
    <w:p/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color w:val="6B7280"/>
          <w:sz w:val="18"/>
        </w:rPr>
        <w:t>แหล่งข้อมูล: ⚠️ ไม่พบแหล่งยืนยันเอกสารต้นทาง — ข้อมูลพื้นหลังจาก bot.or.th/news-20250428; nationthailand.com/news/40067385; khaosod.co.th/special-stories/news_10330655; ratchakitcha.soc.go.th/documents/140A018N0000000000100.pdf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color w:val="6B7280"/>
          <w:sz w:val="18"/>
        </w:rPr>
        <w:t>หมายเหตุการตรวจสอบแหล่งที่มา: รายการนี้คงไว้ในรายงานเพื่อความโปร่งใส (ตามที่ปรากฏในบัญชีกฎหมายต้นทาง) แต่เนื้อหาด้านล่างถูกปรับให้นำเสนอกลไก "บัญชีดำ/บัญชีม้า" ที่ยืนยันได้จริงในระบบกฎหมายไทยปัจจุบันแทน (พ.ร.ก. อาชญากรรมทางเทคโนโลยี 2566 + Central Fraud Registry ของ ธปท.) เพื่อเป็นข้อมูลพื้นหลังประกอบ จนกว่าจะตรวจสอบต้นฉบับได้ — แนะนำให้ตรวจสอบกับ ปปง./กระทรวงดีอี/ราชกิจจานุเบกษาโดยตรงก่อนใช้อ้างอิงในรายงาน compliance ที่เป็นทางการ</w:t>
      </w:r>
    </w:p>
    <w:p>
      <w:pPr>
        <w:spacing w:after="120"/>
        <w:jc w:val="left"/>
        <w:autoSpaceDE w:val="0"/>
        <w:autoSpaceDN w:val="0"/>
      </w:pPr>
      <w:r>
        <w:rPr>
          <w:rFonts w:ascii="Liberation Sans" w:hAnsi="Liberation Sans" w:eastAsia="Noto Sans Thai" w:cs="Noto Sans Thai"/>
          <w:b w:val="0"/>
          <w:color w:val="6B7280"/>
          <w:sz w:val="18"/>
        </w:rPr>
        <w:t>ข้อแก้ไขจากรายงานฉบับก่อนหน้า: ⚠️ การตรวจสอบเชิงลึกในรอบนี้ (ค้นหาวลีตรงตัวของชื่อเอกสาร + พยายามเข้าถึง ratchakitcha.soc.go.th โดยตรง + ตรวจสอบเว็บ prd.go.th) ไม่พบหลักฐานยืนยันการมีอยู่จริงของเอกสารฉบับนี้ภายใต้ชื่อและวันที่ที่ระบุ ทั้งจากราชกิจจานุเบกษาหรือแหล่งข่าวใดๆ เลย แม้ดัชนีข่าวช่วงเวลาเดียวกันจะครอบคลุมเหตุการณ์เล็กๆ อื่นได้ตามปกติ จึงเป็นไปได้ว่า (1) ข้อมูลต้นทางคลาดเคลื่อน หรือ (2) เป็นประกาศระดับรองที่ไม่ถูกจัดทำดัชนีค้นหา หรือ (3) เป็นคนละเอกสารที่ถูกปนกัน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Noto Sans Thai" w:cs="Noto Sans Tha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