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วันที่ประกาศ: 2026-10-09</w:t>
      </w:r>
    </w:p>
    <w:p>
      <w:r>
        <w:t>แหล่งอ้างอิง: https://www.rd.go.th/fileadmin/user_upload/kormor/newlaw/mr402.pdf</w:t>
      </w:r>
    </w:p>
    <w:p/>
    <w:p>
      <w:pPr>
        <w:pStyle w:val="Title"/>
      </w:pPr>
      <w:r>
        <w:t>กฎกระทรวง ฉบับที่ 402 (พ.ศ. 2569) ออกตามความในประมวลรัษฎากร ว่าด้วยภาษีเงินได้</w:t>
      </w:r>
    </w:p>
    <w:p>
      <w:r>
        <w:t>สรุปและเปรียบเทียบสาระสำคัญกับกฎกระทรวง ฉบับที่ 389 (พ.ศ. 2566) และข้อ 2 (17/5) แห่งกฎกระทรวง ฉบับที่ 144 (พ.ศ. 2522) สำหรับฝ่ายไอที ฝ่ายกฎหมาย/DPO และฝ่ายสื่อสารองค์กร</w:t>
      </w:r>
    </w:p>
    <w:p>
      <w:pPr>
        <w:pStyle w:val="Heading1"/>
      </w:pPr>
      <w:r>
        <w:t>1. ข้อมูลการประกาศจากแหล่งต้นทาง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ฉบับที่ประกาศ</w:t>
            </w:r>
          </w:p>
        </w:tc>
        <w:tc>
          <w:tcPr>
            <w:tcW w:type="dxa" w:w="4320"/>
          </w:tcPr>
          <w:p>
            <w:r>
              <w:t>กฎกระทรวง ฉบับที่ 402 (พ.ศ. 2569) ออกตามความในประมวลรัษฎากร ว่าด้วยภาษีเงินได้ (แก้ไขเพิ่มเติมกฎกระทรวง ฉบับที่ 144 พ.ศ. 2522)</w:t>
            </w:r>
          </w:p>
        </w:tc>
      </w:tr>
      <w:tr>
        <w:tc>
          <w:tcPr>
            <w:tcW w:type="dxa" w:w="4320"/>
          </w:tcPr>
          <w:p>
            <w:r>
              <w:t>ราชกิจจานุเบกษา</w:t>
            </w:r>
          </w:p>
        </w:tc>
        <w:tc>
          <w:tcPr>
            <w:tcW w:type="dxa" w:w="4320"/>
          </w:tcPr>
          <w:p>
            <w:r>
              <w:t>เล่ม 143 ตอนที่ 63 ก หน้า 1–3 วันที่ 9 ตุลาคม 2569 (ยืนยันจากหัวกระดาษของตัวบทฉบับจริงที่อ่านเป็นภาพทุกหน้า)</w:t>
            </w:r>
          </w:p>
        </w:tc>
      </w:tr>
      <w:tr>
        <w:tc>
          <w:tcPr>
            <w:tcW w:type="dxa" w:w="4320"/>
          </w:tcPr>
          <w:p>
            <w:r>
              <w:t>ให้ไว้ ณ วันที่</w:t>
            </w:r>
          </w:p>
        </w:tc>
        <w:tc>
          <w:tcPr>
            <w:tcW w:type="dxa" w:w="4320"/>
          </w:tcPr>
          <w:p>
            <w:r>
              <w:t>1 ตุลาคม พ.ศ. 2569</w:t>
            </w:r>
          </w:p>
        </w:tc>
      </w:tr>
      <w:tr>
        <w:tc>
          <w:tcPr>
            <w:tcW w:type="dxa" w:w="4320"/>
          </w:tcPr>
          <w:p>
            <w:r>
              <w:t>วันเริ่มบังคับใช้</w:t>
            </w:r>
          </w:p>
        </w:tc>
        <w:tc>
          <w:tcPr>
            <w:tcW w:type="dxa" w:w="4320"/>
          </w:tcPr>
          <w:p>
            <w:r>
              <w:t>ตัวบทไม่มีข้อความกำหนดวันเริ่มบังคับใช้แยกต่างหาก ใช้กับการจ่ายเงินได้พึงประเมินที่จ่ายตั้งแต่ 1 มกราคม 2569 ถึง 31 ธันวาคม 2570</w:t>
            </w:r>
          </w:p>
        </w:tc>
      </w:tr>
      <w:tr>
        <w:tc>
          <w:tcPr>
            <w:tcW w:type="dxa" w:w="4320"/>
          </w:tcPr>
          <w:p>
            <w:r>
              <w:t>ผู้ลงนาม</w:t>
            </w:r>
          </w:p>
        </w:tc>
        <w:tc>
          <w:tcPr>
            <w:tcW w:type="dxa" w:w="4320"/>
          </w:tcPr>
          <w:p>
            <w:r>
              <w:t>นายเอกนิติ นิติทัณฑ์ประภาศ รัฐมนตรีว่าการกระทรวงการคลัง</w:t>
            </w:r>
          </w:p>
        </w:tc>
      </w:tr>
      <w:tr>
        <w:tc>
          <w:tcPr>
            <w:tcW w:type="dxa" w:w="4320"/>
          </w:tcPr>
          <w:p>
            <w:r>
              <w:t>อำนาจในการตรา</w:t>
            </w:r>
          </w:p>
        </w:tc>
        <w:tc>
          <w:tcPr>
            <w:tcW w:type="dxa" w:w="4320"/>
          </w:tcPr>
          <w:p>
            <w:r>
              <w:t>มาตรา 3 เตรส แห่งประมวลรัษฎากร (แก้ไขโดยพระราชกำหนดแก้ไขเพิ่มเติมประมวลรัษฎากร ฉบับที่ 5 พ.ศ. 2521) และมาตรา 4 แห่งประมวลรัษฎากร</w:t>
            </w:r>
          </w:p>
        </w:tc>
      </w:tr>
      <w:tr>
        <w:tc>
          <w:tcPr>
            <w:tcW w:type="dxa" w:w="4320"/>
          </w:tcPr>
          <w:p>
            <w:r>
              <w:t>แหล่งที่พบ</w:t>
            </w:r>
          </w:p>
        </w:tc>
        <w:tc>
          <w:tcPr>
            <w:tcW w:type="dxa" w:w="4320"/>
          </w:tcPr>
          <w:p>
            <w:r>
              <w:t>เว็บกรมสรรพากร หมวดกฎหมายออกใหม่ (ลงเว็บ 12 ต.ค. 2569; ข่าว ปชส. 15 ต.ค. 2569) ไฟล์ตัวบท mr402.pdf และยืนยันความต่อเนื่องกับฉบับเดิมจาก mr389.pdf และหน้า rd.go.th/2494.html</w:t>
            </w:r>
          </w:p>
        </w:tc>
      </w:tr>
    </w:tbl>
    <w:p>
      <w:pPr>
        <w:pStyle w:val="Heading1"/>
      </w:pPr>
      <w:r>
        <w:t>2. วัตถุประสงค์และเหตุผลความจำเป็น</w:t>
      </w:r>
    </w:p>
    <w:p>
      <w:r>
        <w:t>หมายเหตุท้ายฉบับระบุเหตุผลว่า สมควรกำหนดให้หักภาษี ณ ที่จ่ายในอัตราที่ลดลงจากที่กำหนดไว้ตามกฎกระทรวง ฉบับที่ 144 สำหรับการจ่ายเงินได้พึงประเมินบางประเภท ที่ผู้มีหน้าที่นำส่งภาษีเงินได้ดำเนินการตามวิธีนำส่งที่กำหนดตามมาตรา 3 ปัณรส แห่งประมวลรัษฎากร (การนำส่งผ่านระบบอิเล็กทรอนิกส์ หรือ e-Withholding Tax) และได้จ่ายตั้งแต่ 1 มกราคม 2569 ถึง 31 ธันวาคม 2570 เพื่อส่งเสริมและสนับสนุนให้ผู้ประกอบการนำส่งภาษีผ่านระบบอิเล็กทรอนิกส์</w:t>
      </w:r>
    </w:p>
    <w:p>
      <w:r>
        <w:t>กฎกระทรวงฉบับที่ 389 (พ.ศ. 2566) ซึ่งให้สิทธิลดอัตราเหลือร้อยละ 1.0 ครอบคลุมการจ่ายเงินถึง 31 ธันวาคม 2568 จึงสิ้นสุดแล้ว ฉบับที่ 402 ต่อช่วงเวลาของมาตรการนี้ออกไปอีก 2 ปี</w:t>
      </w:r>
    </w:p>
    <w:p>
      <w:pPr>
        <w:pStyle w:val="Heading1"/>
      </w:pPr>
      <w:r>
        <w:t>3. ตารางเปรียบเทียบเชิงลึก (กฎหมายเดิม vs กฎหมายใหม่)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ประเด็น</w:t>
            </w:r>
          </w:p>
        </w:tc>
        <w:tc>
          <w:tcPr>
            <w:tcW w:type="dxa" w:w="2880"/>
          </w:tcPr>
          <w:p>
            <w:r>
              <w:rPr>
                <w:b/>
              </w:rPr>
              <w:t>เดิม: กฎกระทรวง ฉบับที่ 389 พ.ศ. 2566</w:t>
            </w:r>
          </w:p>
        </w:tc>
        <w:tc>
          <w:tcPr>
            <w:tcW w:type="dxa" w:w="2880"/>
          </w:tcPr>
          <w:p>
            <w:r>
              <w:rPr>
                <w:b/>
              </w:rPr>
              <w:t>ใหม่: กฎกระทรวง ฉบับที่ 402 พ.ศ. 2569</w:t>
            </w:r>
          </w:p>
        </w:tc>
      </w:tr>
      <w:tr>
        <w:tc>
          <w:tcPr>
            <w:tcW w:type="dxa" w:w="2880"/>
          </w:tcPr>
          <w:p>
            <w:r>
              <w:t>ราชกิจจานุเบกษา</w:t>
            </w:r>
          </w:p>
        </w:tc>
        <w:tc>
          <w:tcPr>
            <w:tcW w:type="dxa" w:w="2880"/>
          </w:tcPr>
          <w:p>
            <w:r>
              <w:t>เล่ม 140 ตอนที่ 15 ก วันที่ 10 มี.ค. 2566 (ให้ไว้ 28 ก.พ. 2566)</w:t>
            </w:r>
          </w:p>
        </w:tc>
        <w:tc>
          <w:tcPr>
            <w:tcW w:type="dxa" w:w="2880"/>
          </w:tcPr>
          <w:p>
            <w:r>
              <w:t>เล่ม 143 ตอนที่ 63 ก วันที่ 9 ต.ค. 2569 (ให้ไว้ 1 ต.ค. 2569)</w:t>
            </w:r>
          </w:p>
        </w:tc>
      </w:tr>
      <w:tr>
        <w:tc>
          <w:tcPr>
            <w:tcW w:type="dxa" w:w="2880"/>
          </w:tcPr>
          <w:p>
            <w:r>
              <w:t>ข้อความที่แก้</w:t>
            </w:r>
          </w:p>
        </w:tc>
        <w:tc>
          <w:tcPr>
            <w:tcW w:type="dxa" w:w="2880"/>
          </w:tcPr>
          <w:p>
            <w:r>
              <w:t>ยกเลิกและแทนที่ข้อ 2 (17/5) แห่งกฎกระทรวง ฉบับที่ 144 ซึ่งแก้ไขโดยฉบับที่ 373 (พ.ศ. 2564)</w:t>
            </w:r>
          </w:p>
        </w:tc>
        <w:tc>
          <w:tcPr>
            <w:tcW w:type="dxa" w:w="2880"/>
          </w:tcPr>
          <w:p>
            <w:r>
              <w:t>ยกเลิกและแทนที่ข้อ 2 (17/5) แห่งกฎกระทรวง ฉบับที่ 144 ซึ่งแก้ไขโดยฉบับที่ 389 (พ.ศ. 2566)</w:t>
            </w:r>
          </w:p>
        </w:tc>
      </w:tr>
      <w:tr>
        <w:tc>
          <w:tcPr>
            <w:tcW w:type="dxa" w:w="2880"/>
          </w:tcPr>
          <w:p>
            <w:r>
              <w:t>ช่วงที่จ่ายเงินได้</w:t>
            </w:r>
          </w:p>
        </w:tc>
        <w:tc>
          <w:tcPr>
            <w:tcW w:type="dxa" w:w="2880"/>
          </w:tcPr>
          <w:p>
            <w:r>
              <w:t>1 ม.ค. 2566 – 31 ธ.ค. 2568 (3 ปี)</w:t>
            </w:r>
          </w:p>
        </w:tc>
        <w:tc>
          <w:tcPr>
            <w:tcW w:type="dxa" w:w="2880"/>
          </w:tcPr>
          <w:p>
            <w:r>
              <w:t>1 ม.ค. 2569 – 31 ธ.ค. 2570 (2 ปี)</w:t>
            </w:r>
          </w:p>
        </w:tc>
      </w:tr>
      <w:tr>
        <w:tc>
          <w:tcPr>
            <w:tcW w:type="dxa" w:w="2880"/>
          </w:tcPr>
          <w:p>
            <w:r>
              <w:t>อัตราหัก ณ ที่จ่าย</w:t>
            </w:r>
          </w:p>
        </w:tc>
        <w:tc>
          <w:tcPr>
            <w:tcW w:type="dxa" w:w="2880"/>
          </w:tcPr>
          <w:p>
            <w:r>
              <w:t>ร้อยละ 1.0 เมื่อนำส่งตามวิธีมาตรา 3 ปัณรส</w:t>
            </w:r>
          </w:p>
        </w:tc>
        <w:tc>
          <w:tcPr>
            <w:tcW w:type="dxa" w:w="2880"/>
          </w:tcPr>
          <w:p>
            <w:r>
              <w:t>ร้อยละ 1.0 เหมือนเดิม</w:t>
            </w:r>
          </w:p>
        </w:tc>
      </w:tr>
      <w:tr>
        <w:tc>
          <w:tcPr>
            <w:tcW w:type="dxa" w:w="2880"/>
          </w:tcPr>
          <w:p>
            <w:r>
              <w:t>ประเภทเงินได้ (ก)–(ช)</w:t>
            </w:r>
          </w:p>
        </w:tc>
        <w:tc>
          <w:tcPr>
            <w:tcW w:type="dxa" w:w="2880"/>
          </w:tcPr>
          <w:p>
            <w:r>
              <w:t>ม.40 (2) แก่บริษัท/ห้างหุ้นส่วนนิติบุคคล, ม.40 (3) ค่ากู๊ดวิลล์ ลิขสิทธิ์ สิทธิอื่น, ม.40 (5) (ก), ม.40 (6) (7), ม.40 (8) รางวัลประกวดแข่งขันชิงโชค ค่าแสดงนักแสดงสาธารณะ และเงินได้จากการจ้างทำของ ส่งเสริมการขาย โฆษณา บริการอื่น</w:t>
            </w:r>
          </w:p>
        </w:tc>
        <w:tc>
          <w:tcPr>
            <w:tcW w:type="dxa" w:w="2880"/>
          </w:tcPr>
          <w:p>
            <w:r>
              <w:t>เหมือนเดิมทุกรายการ จากการอ่านเทียบตัวบททีละรายการ ได้แก่ (ก) ถึง (ช) พร้อมนิยาม นักแสดงสาธารณะ การให้บริการ และภัตตาคาร</w:t>
            </w:r>
          </w:p>
        </w:tc>
      </w:tr>
      <w:tr>
        <w:tc>
          <w:tcPr>
            <w:tcW w:type="dxa" w:w="2880"/>
          </w:tcPr>
          <w:p>
            <w:r>
              <w:t>ข้อยกเว้นไม่รวม</w:t>
            </w:r>
          </w:p>
        </w:tc>
        <w:tc>
          <w:tcPr>
            <w:tcW w:type="dxa" w:w="2880"/>
          </w:tcPr>
          <w:p>
            <w:r>
              <w:t>มูลนิธิหรือสมาคมที่ประกอบกิจการซึ่งมีรายได้ และที่รัฐมนตรีประกาศตามมาตรา 47 (7) (ข); ค่าเช่าเรือพาณิชยนาวีขนส่งระหว่างประเทศ; ค่าบริการโรงแรม ภัตตาคาร เบี้ยประกันชีวิต (ในรายการ ช)</w:t>
            </w:r>
          </w:p>
        </w:tc>
        <w:tc>
          <w:tcPr>
            <w:tcW w:type="dxa" w:w="2880"/>
          </w:tcPr>
          <w:p>
            <w:r>
              <w:t>เหมือนเดิม</w:t>
            </w:r>
          </w:p>
        </w:tc>
      </w:tr>
      <w:tr>
        <w:tc>
          <w:tcPr>
            <w:tcW w:type="dxa" w:w="2880"/>
          </w:tcPr>
          <w:p>
            <w:r>
              <w:t>บทกำหนดโทษ</w:t>
            </w:r>
          </w:p>
        </w:tc>
        <w:tc>
          <w:tcPr>
            <w:tcW w:type="dxa" w:w="2880"/>
          </w:tcPr>
          <w:p>
            <w:r>
              <w:t>ไม่มีโทษในตัวกฎกระทรวง</w:t>
            </w:r>
          </w:p>
        </w:tc>
        <w:tc>
          <w:tcPr>
            <w:tcW w:type="dxa" w:w="2880"/>
          </w:tcPr>
          <w:p>
            <w:r>
              <w:t>ไม่มีโทษในตัวกฎกระทรวง</w:t>
            </w:r>
          </w:p>
        </w:tc>
      </w:tr>
    </w:tbl>
    <w:p/>
    <w:p>
      <w:r>
        <w:t>สิ่งที่บัญญัติเพิ่มขึ้นมาใหม่ (Additions)</w:t>
      </w:r>
    </w:p>
    <w:p>
      <w:pPr>
        <w:pStyle w:val="ListBullet"/>
      </w:pPr>
      <w:r>
        <w:t>ต่อช่วงเวลาที่ได้สิทธิอัตราร้อยละ 1.0 เป็นเงินได้ที่จ่ายตั้งแต่ 1 มกราคม 2569 ถึง 31 ธันวาคม 2570</w:t>
      </w:r>
    </w:p>
    <w:p>
      <w:pPr>
        <w:pStyle w:val="ListBullet"/>
      </w:pPr>
      <w:r>
        <w:t>อ้างอิงฉบับแก้ไขล่าสุดเป็นกฎกระทรวง ฉบับที่ 389 (พ.ศ. 2566) แทนที่ฉบับที่ 373 (พ.ศ. 2564) เพื่อให้ข้อ 2 (17/5) เป็นข้อความชุดเดียวต่อเนื่อง</w:t>
      </w:r>
    </w:p>
    <w:p>
      <w:r>
        <w:t>สิ่งที่ถูกยกเลิก ผ่อนปรน หรือข้อยกเว้น (Deletions)</w:t>
      </w:r>
    </w:p>
    <w:p>
      <w:pPr>
        <w:pStyle w:val="ListBullet"/>
      </w:pPr>
      <w:r>
        <w:t>ยกเลิกข้อความเดิมใน ข้อ 2 (17/5) ตามฉบับที่ 389 และใช้ข้อความใหม่แทน ซึ่งช่วงจ่ายเงิน 2566–2568 สิ้นสุดลงแล้ว</w:t>
      </w:r>
    </w:p>
    <w:p>
      <w:pPr>
        <w:pStyle w:val="ListBullet"/>
      </w:pPr>
      <w:r>
        <w:t>ไม่มีการเพิ่มหรือลดประเภทเงินได้ และไม่มีการเปลี่ยนข้อยกเว้นมูลนิธิหรือสมาคม</w:t>
      </w:r>
    </w:p>
    <w:p>
      <w:pPr>
        <w:pStyle w:val="ListBullet"/>
      </w:pPr>
      <w:r>
        <w:t>ไม่ได้ผ่อนปรนเงื่อนไขการนำส่ง: ผู้จ่ายเงินต้องดำเนินการตามวิธีนำส่งที่กำหนดตามมาตรา 3 ปัณรส จึงจะได้อัตราลดนี้</w:t>
      </w:r>
    </w:p>
    <w:p>
      <w:r>
        <w:t>บทกำหนดโทษและบทเฉพาะกาล</w:t>
      </w:r>
    </w:p>
    <w:p>
      <w:r>
        <w:t>ตัวกฎกระทรวงไม่มีโทษอาญาหรือค่าปรับ ผลของการไม่นำส่งตามวิธีที่กำหนดคือไม่ได้ใช้อัตราร้อยละ 1.0 และต้องหักตามอัตราที่สูงกว่าซึ่งกฎกระทรวง ฉบับที่ 144 กำหนดไว้สำหรับเงินได้ประเภทนั้น</w:t>
      </w:r>
    </w:p>
    <w:p>
      <w:r>
        <w:t>หมายเหตุ: สรุปจากตัวบทราชกิจจานุเบกษา 3 หน้า (รวมหมายเหตุท้ายฉบับ) ที่อ่านครบทุกข้อ เทียบกับตัวบทกฎกระทรวง ฉบับที่ 389 ที่ดาวน์โหลดจากเว็บกรมสรรพากรและอ่านครบทั้งฉบับ และเทียบกับข้อ 2 (17/5) ของฉบับที่ 144 ที่ปรากฏในหน้า rd.go.th/2494.html</w:t>
      </w:r>
    </w:p>
    <w:p>
      <w:pPr>
        <w:pStyle w:val="Heading1"/>
      </w:pPr>
      <w:r>
        <w:t>4. การบูรณาการกับกฎหมายอื่น</w:t>
      </w:r>
    </w:p>
    <w:p>
      <w:pPr>
        <w:pStyle w:val="ListBullet"/>
      </w:pPr>
      <w:r>
        <w:t>ประมวลรัษฎากร: ออกตามมาตรา 3 เตรส และมาตรา 4 อ้างอิงวิธีนำส่งตามมาตรา 3 ปัณรส มาตรา 40 และมาตรา 47 (7) (ข)</w:t>
      </w:r>
    </w:p>
    <w:p>
      <w:pPr>
        <w:pStyle w:val="ListBullet"/>
      </w:pPr>
      <w:r>
        <w:t>กฎกระทรวง ฉบับที่ 144 (พ.ศ. 2522) และฉบับที่ 389 (พ.ศ. 2566): ฉบับที่ถูกแก้ไขและฉบับเดิมที่หมดช่วงเวลา</w:t>
      </w:r>
    </w:p>
    <w:p>
      <w:pPr>
        <w:pStyle w:val="ListBullet"/>
      </w:pPr>
      <w:r>
        <w:t>กฎหมายธุรกรรมทางอิเล็กทรอนิกส์ (ข้อสังเกตเชิงปฏิบัติ ไม่ได้ระบุในตัวบท): การนำส่งและเก็บหลักฐานแบบอิเล็กทรอนิกส์ต้องสอดคล้องกับ พ.ร.บ.ธุรกรรมทางอิเล็กทรอนิกส์ พ.ศ. 2544</w:t>
      </w:r>
    </w:p>
    <w:p>
      <w:pPr>
        <w:pStyle w:val="ListBullet"/>
      </w:pPr>
      <w:r>
        <w:t>PDPA พ.ศ. 2562 (ข้อสังเกตเชิงปฏิบัติ ไม่ได้ระบุในตัวบท): ข้อมูลผู้รับเงิน เลขประจำตัวผู้เสียภาษี และบัญชีธนาคารในระบบจ่ายเงินและระบบบัญชีเป็นข้อมูลส่วนบุคคล ต้องมีมาตรการรักษาความมั่นคงปลอดภัยและกำหนดวัตถุประสงค์การใช้</w:t>
      </w:r>
    </w:p>
    <w:p>
      <w:pPr>
        <w:pStyle w:val="ListBullet"/>
      </w:pPr>
      <w:r>
        <w:t>พ.ร.บ.คอมพิวเตอร์ฯ และ พ.ร.บ.ไซเบอร์ฯ (ข้อสังเกตเชิงปฏิบัติ): ระบบที่เชื่อมต่อการนำส่งภาษีต้องควบคุมสิทธิเข้าถึงและเก็บ log เพื่อใช้ตรวจสอบย้อนหลัง</w:t>
      </w:r>
    </w:p>
    <w:p>
      <w:pPr>
        <w:pStyle w:val="Heading1"/>
      </w:pPr>
      <w:r>
        <w:t>5. ผลกระทบต่อภาคธุรกิจและบุคคล</w:t>
      </w:r>
    </w:p>
    <w:p>
      <w:r>
        <w:t>หน้าที่และสิทธิใหม่ของบริษัทเทคโนโลยีและภาคธุรกิจ:</w:t>
      </w:r>
    </w:p>
    <w:p>
      <w:pPr>
        <w:pStyle w:val="ListBullet"/>
      </w:pPr>
      <w:r>
        <w:t>ผู้จ่ายเงินได้ที่เป็นผู้มีหน้าที่หักภาษี ณ ที่จ่าย ได้อัตราร้อยละ 1.0 ต่อไปจนถึงสิ้นปี 2570 หากนำส่งผ่านระบบอิเล็กทรอนิกส์ จึงควรเตรียมระบบบัญชีและระบบจ่ายเงินให้รองรับการนำส่ง e-Withholding Tax</w:t>
      </w:r>
    </w:p>
    <w:p>
      <w:pPr>
        <w:pStyle w:val="ListBullet"/>
      </w:pPr>
      <w:r>
        <w:t>ผู้พัฒนา ERP ระบบบัญชี และระบบจ่ายเงิน: ลูกค้ามีแรงจูงใจใช้ฟังก์ชันนำส่งภาษีอิเล็กทรอนิกส์ จึงควรตรวจรูปแบบไฟล์และการเชื่อมต่อกับระบบกรมสรรพากร</w:t>
      </w:r>
    </w:p>
    <w:p>
      <w:pPr>
        <w:pStyle w:val="ListBullet"/>
      </w:pPr>
      <w:r>
        <w:t>รายการจ่ายที่เกิดตั้งแต่ 1 ม.ค. 2569 และนำส่งไปแล้วในอัตราปกติ ควรให้ฝ่ายภาษีตรวจสอบว่าเข้าเงื่อนไขอัตราลดหรือไม่ โดยตัวบทไม่ได้ระบุวิธีขอปรับปรุงรายการที่ผ่านมา</w:t>
      </w:r>
    </w:p>
    <w:p>
      <w:r>
        <w:t>สิทธิและความคุ้มครองของประชาชน:</w:t>
      </w:r>
    </w:p>
    <w:p>
      <w:pPr>
        <w:pStyle w:val="ListBullet"/>
      </w:pPr>
      <w:r>
        <w:t>ผู้รับเงินได้ถูกหักภาษีน้อยลง จึงได้รับเงินสุทธิมากขึ้นทันที ส่วนภาษีที่ถูกหักถือเป็นเครดิตภาษีของตนตามหลักทั่วไป ผู้รับเงินที่เป็นบุคคลธรรมดาควรขอหลักฐานการหักภาษี</w:t>
      </w:r>
    </w:p>
    <w:p>
      <w:pPr>
        <w:pStyle w:val="Heading1"/>
      </w:pPr>
      <w:r>
        <w:t>6. Checklist สิ่งที่ฝ่ายไอที/กฎหมายต้องลงมือทำทันที</w:t>
      </w:r>
    </w:p>
    <w:p>
      <w:pPr>
        <w:pStyle w:val="ListNumber"/>
      </w:pPr>
      <w:r>
        <w:t>ฝ่ายบัญชีและภาษีตรวจว่าการจ่ายเงินได้ประเภท (ก)–(ช) ตั้งแต่ 1 ม.ค. 2569 ใช้อัตราร้อยละ 1.0 ถูกต้อง และนำส่งตามวิธีมาตรา 3 ปัณรส</w:t>
      </w:r>
    </w:p>
    <w:p>
      <w:pPr>
        <w:pStyle w:val="ListNumber"/>
      </w:pPr>
      <w:r>
        <w:t>ฝ่ายไอทีตรวจว่าระบบบัญชี ERP และระบบจ่ายเงินรองรับการจัดทำและนำส่งแบบอิเล็กทรอนิกส์ รวมถึงตั้งค่าอัตราตามช่วงวันที่จ่าย (สิ้นสุด 31 ธ.ค. 2570)</w:t>
      </w:r>
    </w:p>
    <w:p>
      <w:pPr>
        <w:pStyle w:val="ListNumber"/>
      </w:pPr>
      <w:r>
        <w:t>ตั้งการแจ้งเตือนล่วงหน้าก่อนสิ้นสุดมาตรการวันที่ 31 ธ.ค. 2570 เพื่อกลับไปใช้อัตราปกติหากไม่มีการต่ออายุ</w:t>
      </w:r>
    </w:p>
    <w:p>
      <w:pPr>
        <w:pStyle w:val="ListNumber"/>
      </w:pPr>
      <w:r>
        <w:t>ฝ่ายกฎหมายและ DPO ตรวจสัญญากับผู้ให้บริการระบบ และมาตรการคุ้มครองข้อมูลผู้รับเงินตาม PDPA</w:t>
      </w:r>
    </w:p>
    <w:p>
      <w:pPr>
        <w:pStyle w:val="ListNumber"/>
      </w:pPr>
      <w:r>
        <w:t>ติดตามประกาศกรมสรรพากรเรื่องรายละเอียดวิธีนำส่ง และเก็บสำเนากฎกระทรวงฉบับที่ 402 ไว้เป็นหลักฐานอ้างอิง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