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2026-10-15</w:t>
      </w:r>
    </w:p>
    <w:p>
      <w:r>
        <w:t>แหล่งอ้างอิง: https://publish.sec.or.th/nrs/11272s.pdf</w:t>
      </w:r>
    </w:p>
    <w:p/>
    <w:p>
      <w:pPr>
        <w:pStyle w:val="Title"/>
      </w:pPr>
      <w:r>
        <w:t>ประกาศคณะกรรมการกำกับตลาดทุน ที่ ทน. 19/2569 เรื่อง การจัดตั้งกองทุนรวมเพื่อผู้ลงทุนทั่วไปและเพื่อผู้ลงทุนที่มิใช่รายย่อย และการเข้าทำสัญญารับจัดการกองทุนส่วนบุคคล (ฉบับที่ 22)</w:t>
      </w:r>
    </w:p>
    <w:p>
      <w:r>
        <w:t>สรุปและเปรียบเทียบสาระสำคัญกับหลักเกณฑ์เดิม สำหรับฝ่ายไอที ฝ่ายกฎหมาย/DPO และผู้บริหาร (ชุดกฎเกณฑ์ Crypto ETF ตามข่าว ก.ล.ต. ฉบับที่ 216/2569)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ฉบับที่ประกาศ</w:t>
            </w:r>
          </w:p>
        </w:tc>
        <w:tc>
          <w:tcPr>
            <w:tcW w:type="dxa" w:w="4320"/>
          </w:tcPr>
          <w:p>
            <w:r>
              <w:t>ประกาศคณะกรรมการกำกับตลาดทุน ที่ ทน. 19/2569 เรื่อง การจัดตั้งกองทุนรวมเพื่อผู้ลงทุนทั่วไปและเพื่อผู้ลงทุนที่มิใช่รายย่อย และการเข้าทำสัญญารับจัดการกองทุนส่วนบุคคล (ฉบับที่ 22)</w:t>
            </w:r>
          </w:p>
        </w:tc>
      </w:tr>
      <w:tr>
        <w:tc>
          <w:tcPr>
            <w:tcW w:type="dxa" w:w="4320"/>
          </w:tcPr>
          <w:p>
            <w:r>
              <w:t>หน่วยงานผู้ออก</w:t>
            </w:r>
          </w:p>
        </w:tc>
        <w:tc>
          <w:tcPr>
            <w:tcW w:type="dxa" w:w="4320"/>
          </w:tcPr>
          <w:p>
            <w:r>
              <w:t>คณะกรรมการกำกับตลาดทุน (ก.ต.ท.)</w:t>
            </w:r>
          </w:p>
        </w:tc>
      </w:tr>
      <w:tr>
        <w:tc>
          <w:tcPr>
            <w:tcW w:type="dxa" w:w="4320"/>
          </w:tcPr>
          <w:p>
            <w:r>
              <w:t>อำนาจในการออก</w:t>
            </w:r>
          </w:p>
        </w:tc>
        <w:tc>
          <w:tcPr>
            <w:tcW w:type="dxa" w:w="4320"/>
          </w:tcPr>
          <w:p>
            <w:r>
              <w:t>มาตรา 16/6 วรรคสอง (1) และมาตรา 117 แห่ง พระราชบัญญัติหลักทรัพย์และตลาดหลักทรัพย์ พ.ศ. 2535</w:t>
            </w:r>
          </w:p>
        </w:tc>
      </w:tr>
      <w:tr>
        <w:tc>
          <w:tcPr>
            <w:tcW w:type="dxa" w:w="4320"/>
          </w:tcPr>
          <w:p>
            <w:r>
              <w:t>ลงนามโดย</w:t>
            </w:r>
          </w:p>
        </w:tc>
        <w:tc>
          <w:tcPr>
            <w:tcW w:type="dxa" w:w="4320"/>
          </w:tcPr>
          <w:p>
            <w:r>
              <w:t>นางพรอนงค์ บุษราตระกูล เลขาธิการ ก.ล.ต. (ประธานกรรมการกำกับตลาดทุน)</w:t>
            </w:r>
          </w:p>
        </w:tc>
      </w:tr>
      <w:tr>
        <w:tc>
          <w:tcPr>
            <w:tcW w:type="dxa" w:w="4320"/>
          </w:tcPr>
          <w:p>
            <w: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16 ตุลาคม 2569 (ข่าว ก.ล.ต. 216/2569)</w:t>
            </w:r>
          </w:p>
        </w:tc>
      </w:tr>
      <w:tr>
        <w:tc>
          <w:tcPr>
            <w:tcW w:type="dxa" w:w="4320"/>
          </w:tcPr>
          <w:p>
            <w:r>
              <w:t>แก้ไขเพิ่มเติม</w:t>
            </w:r>
          </w:p>
        </w:tc>
        <w:tc>
          <w:tcPr>
            <w:tcW w:type="dxa" w:w="4320"/>
          </w:tcPr>
          <w:p>
            <w:r>
              <w:t>ทน. 88/2558 เรื่อง การจัดตั้งกองทุนรวมเพื่อผู้ลงทุนทั่วไปฯ (แก้ไขล่าสุดก่อนหน้า: ฉบับที่ 21, ทน. 52/2568)</w:t>
            </w:r>
          </w:p>
        </w:tc>
      </w:tr>
      <w:tr>
        <w:tc>
          <w:tcPr>
            <w:tcW w:type="dxa" w:w="4320"/>
          </w:tcPr>
          <w:p>
            <w:r>
              <w:t>แหล่งที่พบ</w:t>
            </w:r>
          </w:p>
        </w:tc>
        <w:tc>
          <w:tcPr>
            <w:tcW w:type="dxa" w:w="4320"/>
          </w:tcPr>
          <w:p>
            <w:r>
              <w:t>https://www.sec.or.th/TH/Pages/News_Detail.aspx?SECID=13410 และไฟล์ https://publish.sec.or.th/nrs/11272s.pdf</w:t>
            </w:r>
          </w:p>
        </w:tc>
      </w:tr>
    </w:tbl>
    <w:p>
      <w:pPr>
        <w:pStyle w:val="Heading1"/>
      </w:pPr>
      <w:r>
        <w:t>2. วัตถุประสงค์และเหตุผลความจำเป็น</w:t>
      </w:r>
    </w:p>
    <w:p>
      <w:r>
        <w:t>เปิดทางให้ บลจ. จัดตั้ง "กองทุนรวมคริปโทอีทีเอฟ" ภายใต้หลักเกณฑ์การจัดตั้งกองทุนรวมทั่วไปที่มีอยู่ โดยเพิ่มนิยาม รายการกองทุนที่จัดตั้งได้ ข้อกำหนดเรื่องชื่อกองทุน และเงื่อนไขความพร้อมของ บลจ. เพราะลงทุนในคริปโทเคอร์เรนซีมีความเสี่ยงด้านระบบงานและผู้ให้บริการแตกต่างจากกองทุนทั่วไป</w:t>
      </w:r>
    </w:p>
    <w:p>
      <w:pPr>
        <w:pStyle w:val="Heading1"/>
      </w:pPr>
      <w:r>
        <w:t>3. ตารางเปรียบเทียบเชิงลึก (หลักเกณฑ์เดิม vs หลักเกณฑ์ใหม่)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ประเด็น</w:t>
            </w:r>
          </w:p>
        </w:tc>
        <w:tc>
          <w:tcPr>
            <w:tcW w:type="dxa" w:w="2880"/>
          </w:tcPr>
          <w:p>
            <w:r>
              <w:t>เดิม</w:t>
            </w:r>
          </w:p>
        </w:tc>
        <w:tc>
          <w:tcPr>
            <w:tcW w:type="dxa" w:w="2880"/>
          </w:tcPr>
          <w:p>
            <w:r>
              <w:t>ใหม่</w:t>
            </w:r>
          </w:p>
        </w:tc>
      </w:tr>
      <w:tr>
        <w:tc>
          <w:tcPr>
            <w:tcW w:type="dxa" w:w="2880"/>
          </w:tcPr>
          <w:p>
            <w:r>
              <w:t>นิยาม "คริปโทเคอร์เรนซี"</w:t>
            </w:r>
          </w:p>
        </w:tc>
        <w:tc>
          <w:tcPr>
            <w:tcW w:type="dxa" w:w="2880"/>
          </w:tcPr>
          <w:p>
            <w:r>
              <w:t>ไม่มีนิยามในข้อ 4 ของ ทน. 88/2558</w:t>
            </w:r>
          </w:p>
        </w:tc>
        <w:tc>
          <w:tcPr>
            <w:tcW w:type="dxa" w:w="2880"/>
          </w:tcPr>
          <w:p>
            <w:r>
              <w:t>เพิ่มนิยามโดยอ้างถึงประกาศว่าด้วยการลงทุนของกองทุน (ทน. 20/2569)</w:t>
            </w:r>
          </w:p>
        </w:tc>
      </w:tr>
      <w:tr>
        <w:tc>
          <w:tcPr>
            <w:tcW w:type="dxa" w:w="2880"/>
          </w:tcPr>
          <w:p>
            <w:r>
              <w:t>ประเภทกองทุนที่จัดตั้งได้ (ข้อ 5 วรรคสอง)</w:t>
            </w:r>
          </w:p>
        </w:tc>
        <w:tc>
          <w:tcPr>
            <w:tcW w:type="dxa" w:w="2880"/>
          </w:tcPr>
          <w:p>
            <w:r>
              <w:t>รายการเดิมสิ้นสุดที่ (9)</w:t>
            </w:r>
          </w:p>
        </w:tc>
        <w:tc>
          <w:tcPr>
            <w:tcW w:type="dxa" w:w="2880"/>
          </w:tcPr>
          <w:p>
            <w:r>
              <w:t>เพิ่ม (10) กองทุนรวมคริปโทอีทีเอฟตามประกาศการลงทุน</w:t>
            </w:r>
          </w:p>
        </w:tc>
      </w:tr>
      <w:tr>
        <w:tc>
          <w:tcPr>
            <w:tcW w:type="dxa" w:w="2880"/>
          </w:tcPr>
          <w:p>
            <w:r>
              <w:t>ชื่อกองทุน (ข้อ 9)</w:t>
            </w:r>
          </w:p>
        </w:tc>
        <w:tc>
          <w:tcPr>
            <w:tcW w:type="dxa" w:w="2880"/>
          </w:tcPr>
          <w:p>
            <w:r>
              <w:t>ไม่มีข้อกำหนดเรื่องชื่อสำหรับคริปโทอีทีเอฟ</w:t>
            </w:r>
          </w:p>
        </w:tc>
        <w:tc>
          <w:tcPr>
            <w:tcW w:type="dxa" w:w="2880"/>
          </w:tcPr>
          <w:p>
            <w:r>
              <w:t>เพิ่ม (8) ชื่อกองทุนต้องสะท้อนคริปโทเคอร์เรนซีที่ลงทุน</w:t>
            </w:r>
          </w:p>
        </w:tc>
      </w:tr>
      <w:tr>
        <w:tc>
          <w:tcPr>
            <w:tcW w:type="dxa" w:w="2880"/>
          </w:tcPr>
          <w:p>
            <w:r>
              <w:t>ความพร้อมของ บลจ. (ข้อ 11 วรรคหนึ่ง)</w:t>
            </w:r>
          </w:p>
        </w:tc>
        <w:tc>
          <w:tcPr>
            <w:tcW w:type="dxa" w:w="2880"/>
          </w:tcPr>
          <w:p>
            <w:r>
              <w:t>ไม่มีเกณฑ์เฉพาะคริปโทอีทีเอฟ</w:t>
            </w:r>
          </w:p>
        </w:tc>
        <w:tc>
          <w:tcPr>
            <w:tcW w:type="dxa" w:w="2880"/>
          </w:tcPr>
          <w:p>
            <w:r>
              <w:t>เพิ่ม (4)(ก) พร้อมด้านบุคลากร ระบบงาน แนวทางบริหารการลงทุนคริปโท (ข) มีผู้ให้บริการที่จำเป็นพร้อมให้บริการ</w:t>
            </w:r>
          </w:p>
        </w:tc>
      </w:tr>
    </w:tbl>
    <w:p/>
    <w:p>
      <w:r>
        <w:rPr>
          <w:b/>
        </w:rPr>
        <w:t>สิ่งที่บัญญัติเพิ่มขึ้นมาใหม่ (Additions)</w:t>
      </w:r>
    </w:p>
    <w:p>
      <w:pPr>
        <w:pStyle w:val="ListBullet"/>
      </w:pPr>
      <w:r>
        <w:t>นิยามคริปโทเคอร์เรนซี ใช้อ้างอิงข้ามประกาศ</w:t>
      </w:r>
    </w:p>
    <w:p>
      <w:pPr>
        <w:pStyle w:val="ListBullet"/>
      </w:pPr>
      <w:r>
        <w:t>กองทุนรวมคริปโทอีทีเอฟเป็นประเภทกองทุนที่จัดตั้งได้ตามรายการ (10)</w:t>
      </w:r>
    </w:p>
    <w:p>
      <w:pPr>
        <w:pStyle w:val="ListBullet"/>
      </w:pPr>
      <w:r>
        <w:t>ชื่อกองทุนต้องสะท้อนสินทรัพย์ที่ลงทุน เช่น ระบุ Bitcoin หรือ Ethereum</w:t>
      </w:r>
    </w:p>
    <w:p>
      <w:pPr>
        <w:pStyle w:val="ListBullet"/>
      </w:pPr>
      <w:r>
        <w:t>บลจ. ต้องแสดงความพร้อมบุคลากร ระบบงาน และผู้ให้บริการก่อนจัดตั้ง</w:t>
      </w:r>
    </w:p>
    <w:p>
      <w:r>
        <w:rPr>
          <w:b/>
        </w:rPr>
        <w:t>สิ่งที่ถูกยกเลิก ผ่อนปรน หรือข้อยกเว้น (Deletions)</w:t>
      </w:r>
    </w:p>
    <w:p>
      <w:pPr>
        <w:pStyle w:val="ListBullet"/>
      </w:pPr>
      <w:r>
        <w:t>ไม่มีข้อความยกเลิกหรือผ่อนปรนหลักเกณฑ์เดิม เป็นการเพิ่มข้อกำหนดเฉพาะสำหรับกองทุนประเภทใหม่</w:t>
      </w:r>
    </w:p>
    <w:p>
      <w:r>
        <w:rPr>
          <w:b/>
        </w:rPr>
        <w:t>บทกำหนดโทษและบทเฉพาะกาล</w:t>
      </w:r>
    </w:p>
    <w:p>
      <w:r>
        <w:t>ตัวประกาศไม่มีบทกำหนดโทษของตนเอง ผลของการฝ่าฝืนเป็นไปตามกลไกของ พระราชบัญญัติหลักทรัพย์และตลาดหลักทรัพย์ พ.ศ. 2535 และอำนาจกำกับของ ก.ล.ต. ซึ่งเป็นกฎหมายแม่ที่ประกาศอาศัยอำนาจ (รอบนี้ไม่ได้ตรวจรายมาตราของบทลงโทษในกฎหมายแม่) ไม่มีบทเฉพาะกาลในตัวประกาศ</w:t>
      </w:r>
    </w:p>
    <w:p>
      <w:r>
        <w:t>หมายเหตุ: หมายเหตุการอ่านต้นฉบับ: ตัวบทที่อ่านครบทุกข้อคือไฟล์ประกาศบนเว็บ ก.ล.ต. (publish.sec.or.th) ซึ่งยังมีลายน้ำ "-ร่าง-" และช่อง "ประกาศ ณ วันที่" ว่าง วันที่ลงราชกิจจานุเบกษา 15 ต.ค. 2569 ได้จากรายงานข่าวมติชน (ยังไม่ได้อ่านฉบับราชกิจจาฯ โดยตรงเพราะหน้าราชกิจจาฯ ติด Cloudflare) ส่วนตารางเปรียบเทียบ "ก่อน" ใช้ข้อความที่ประกาศนี้ยกเลิก/แทนที่/อ้างถึง และสรุป ก.ล.ต. ฉบับที่ 216/2569 ยังไม่ได้เทียบกับฉบับประมวลเดิมทุกข้อ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t>ทน. 20/2569 (การลงทุนของกองทุน ฉบับที่ 37): ให้คำนิยาม "กองทุนรวมคริปโทอีทีเอฟ" และเงื่อนไขการลงทุนที่ฉบับนี้อ้างถึง</w:t>
      </w:r>
    </w:p>
    <w:p>
      <w:pPr>
        <w:pStyle w:val="ListBullet"/>
      </w:pPr>
      <w:r>
        <w:t>สน. 16/2569 และ สน. 17/2569: กำหนดรายละเอียดโครงการและหนังสือชี้ชวนของกองทุนที่จัดตั้งตามฉบับนี้</w:t>
      </w:r>
    </w:p>
    <w:p>
      <w:pPr>
        <w:pStyle w:val="ListBullet"/>
      </w:pPr>
      <w:r>
        <w:t>พระราชกำหนดการประกอบธุรกิจสินทรัพย์ดิจิทัล: นิยามคริปโทเคอร์เรนซี ผู้ให้บริการรับฝากสินทรัพย์ดิจิทัล (DA Custodian) และผู้จัดการเงินทุนสินทรัพย์ดิจิทัลอ้างอิงตามกฎหมายฉบับนี้</w:t>
      </w:r>
    </w:p>
    <w:p>
      <w:pPr>
        <w:pStyle w:val="ListBullet"/>
      </w:pPr>
      <w:r>
        <w:t>ชุดกฎเกณฑ์ Crypto ETF รวม 11 ฉบับ (ข่าว ก.ล.ต. ฉบับที่ 216/2569) ต้องอ่านร่วมกันทั้งชุด ฉบับนี้เป็นเพียงหนึ่งชิ้นของกรอบเดียวกัน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rPr>
          <w:b/>
        </w:rPr>
        <w:t>หน้าที่และสิทธิใหม่ของบริษัทเทคโนโลยีและภาคธุรกิจ:</w:t>
      </w:r>
    </w:p>
    <w:p>
      <w:pPr>
        <w:pStyle w:val="ListBullet"/>
      </w:pPr>
      <w:r>
        <w:t>บลจ. ที่จะออก Crypto ETF ต้องเตรียมทีมลงทุนคริปโท ระบบงาน และสัญญากับ DA Custodian/ผู้จัดการเงินทุนสินทรัพย์ดิจิทัลก่อนยื่นจัดตั้ง</w:t>
      </w:r>
    </w:p>
    <w:p>
      <w:pPr>
        <w:pStyle w:val="ListBullet"/>
      </w:pPr>
      <w:r>
        <w:t>ฝ่ายผลิตภัณฑ์ต้องตั้งชื่อกองทุนให้ระบุคริปโทที่ลงทุน</w:t>
      </w:r>
    </w:p>
    <w:p>
      <w:r>
        <w:rPr>
          <w:b/>
        </w:rPr>
        <w:t>สิทธิและความคุ้มครองของประชาชน:</w:t>
      </w:r>
    </w:p>
    <w:p>
      <w:pPr>
        <w:pStyle w:val="ListBullet"/>
      </w:pPr>
      <w:r>
        <w:t>ผู้ลงทุนทั่วไปจะมีกองทุน Crypto ETF ที่จัดตั้งในไทยให้เลือก โดยชื่อกองทุนบอกชัดว่าลงทุนในคริปโทใด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บลจ.: จัดทำเอกสารแสดงความพร้อมด้านบุคลากร ระบบงาน และผู้ให้บริการ</w:t>
      </w:r>
    </w:p>
    <w:p>
      <w:pPr>
        <w:pStyle w:val="ListNumber"/>
      </w:pPr>
      <w:r>
        <w:t>ฝ่ายกฎหมาย: ตรวจชื่อกองทุนก่อนยื่นขอจัดตั้งว่าสะท้อนคริปโทที่ลงทุน</w:t>
      </w:r>
    </w:p>
    <w:p>
      <w:pPr>
        <w:pStyle w:val="ListNumber"/>
      </w:pPr>
      <w:r>
        <w:t>ฝ่ายไอที: ประเมินระบบงานที่ต้องรองรับสินทรัพย์ดิจิทัล (การเชื่อมต่อ DA Custodian, การกระทบยอดสินทรัพย์)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ma" w:hAnsi="Loma" w:cs="Loma" w:eastAsia="L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oma" w:hAnsi="Loma" w:cs="Loma" w:eastAsia="Lom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oma" w:hAnsi="Loma" w:cs="Loma" w:eastAsia="L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oma" w:hAnsi="Loma" w:cs="Loma" w:eastAsia="Loma"/>
    </w:rPr>
  </w:style>
  <w:style w:type="table" w:default="1" w:styleId="TableNormal">
    <w:name w:val="Normal Table"/>
    <w:uiPriority w:val="99"/>
    <w:semiHidden/>
    <w:unhideWhenUsed/>
    <w:rPr>
      <w:rFonts w:ascii="Loma" w:hAnsi="Loma" w:cs="Loma" w:eastAsia="Lom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oma" w:hAnsi="Loma" w:cs="Loma" w:eastAsia="Lom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oma" w:hAnsi="Loma" w:cs="Loma" w:eastAsia="Lom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oma" w:hAnsi="Loma" w:cs="Loma" w:eastAsia="Lom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oma" w:hAnsi="Loma" w:cs="Loma" w:eastAsia="Lom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oma" w:hAnsi="Loma" w:cs="Loma" w:eastAsia="Lom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oma" w:hAnsi="Loma" w:cs="Loma" w:eastAsia="Lom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oma" w:hAnsi="Loma" w:cs="Loma" w:eastAsia="Lom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oma" w:hAnsi="Loma" w:cs="Loma" w:eastAsia="Lom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oma" w:hAnsi="Loma" w:cs="Loma" w:eastAsia="Lom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oma" w:hAnsi="Loma" w:cs="Loma" w:eastAsia="Lom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oma" w:hAnsi="Loma" w:cs="Loma" w:eastAsia="Lom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oma" w:hAnsi="Loma" w:cs="Loma" w:eastAsia="L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oma" w:hAnsi="Loma" w:cs="Loma" w:eastAsia="Lom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oma" w:hAnsi="Loma" w:cs="Loma" w:eastAsia="Lom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oma" w:hAnsi="Loma" w:cs="Loma" w:eastAsia="L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oma" w:hAnsi="Loma" w:cs="Loma" w:eastAsia="Lom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oma" w:hAnsi="Loma" w:cs="Loma" w:eastAsia="Lom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oma" w:hAnsi="Loma" w:cs="Loma" w:eastAsia="Lom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oma" w:hAnsi="Loma" w:cs="Loma" w:eastAsia="Lom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oma" w:hAnsi="Loma" w:cs="Loma" w:eastAsia="Lom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oma" w:hAnsi="Loma" w:cs="Loma" w:eastAsia="Lom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oma" w:hAnsi="Loma" w:cs="Loma" w:eastAsia="Lom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oma" w:hAnsi="Loma" w:cs="Loma" w:eastAsia="Lom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oma" w:hAnsi="Loma" w:cs="Loma" w:eastAsia="Lom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oma" w:hAnsi="Loma" w:cs="Loma" w:eastAsia="Lom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oma" w:hAnsi="Loma" w:cs="Loma" w:eastAsia="Lom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oma" w:hAnsi="Loma" w:cs="Loma" w:eastAsia="Lom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oma" w:hAnsi="Loma" w:cs="Loma" w:eastAsia="Lom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oma" w:hAnsi="Loma" w:cs="Loma" w:eastAsia="Lom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oma" w:hAnsi="Loma" w:cs="Loma" w:eastAsia="Lom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oma" w:hAnsi="Loma" w:cs="Loma" w:eastAsia="Lom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oma" w:hAnsi="Loma" w:cs="Loma" w:eastAsia="Lom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