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https://publish.sec.or.th/nrs/11279s.pdf</w:t>
      </w:r>
    </w:p>
    <w:p/>
    <w:p>
      <w:pPr>
        <w:pStyle w:val="Title"/>
      </w:pPr>
      <w:r>
        <w:t>ประกาศคณะกรรมการกำกับตลาดทุน ที่ ทน. 20/2569 เรื่อง การลงทุนของกองทุน (ฉบับที่ 37)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ประกาศคณะกรรมการกำกับตลาดทุน ที่ ทน. 20/2569 เรื่อง การลงทุนของกองทุน (ฉบับที่ 37)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คณะกรรมการกำกับตลาดทุน (ก.ต.ท.)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16/6 วรรคสอง (1), มาตรา 117 และมาตรา 133 วรรคสอง แห่ง พระราชบัญญัติหลักทรัพย์และตลาดหลักทรัพย์ พ.ศ. 2535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ทน. 87/2558 เรื่อง การลงทุนของกองทุน (แก้ไขล่าสุดก่อนหน้า: ฉบับที่ 29 ทน. 47/2567 และอื่น ๆ)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https://publish.sec.or.th/nrs/11279s.pdf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เป็นประกาศแกนกลางของชุด Crypto ETF: นิยามคริปโทเคอร์เรนซี/คริปโทแอสเซ็ท กำหนดให้กองทุนรวมคริปโทอีทีเอฟถือสินทรัพย์ดิจิทัลได้ วางหลักเกณฑ์เลือกรายการคริปโทที่ลงทุนได้ เงื่อนไขการฝากกับผู้ให้บริการรับฝากต่างประเทศ จำกัดกองทุนส่วนบุคคลรายย่อยให้ลงทุนทางอ้อมเท่านั้น และปรับภาคผนวกอัตราส่วนการลงทุน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นิยามคริปโทเคอร์เรนซี</w:t>
            </w:r>
          </w:p>
        </w:tc>
        <w:tc>
          <w:tcPr>
            <w:tcW w:type="dxa" w:w="2880"/>
          </w:tcPr>
          <w:p>
            <w:r>
              <w:t>ไม่มีนิยามแยกในข้อ 2</w:t>
            </w:r>
          </w:p>
        </w:tc>
        <w:tc>
          <w:tcPr>
            <w:tcW w:type="dxa" w:w="2880"/>
          </w:tcPr>
          <w:p>
            <w:r>
              <w:t>เพิ่มนิยาม = คริปโทเคอร์เรนซีตามกฎหมายว่าด้วยการประกอบธุรกิจสินทรัพย์ดิจิทัล</w:t>
            </w:r>
          </w:p>
        </w:tc>
      </w:tr>
      <w:tr>
        <w:tc>
          <w:tcPr>
            <w:tcW w:type="dxa" w:w="2880"/>
          </w:tcPr>
          <w:p>
            <w:r>
              <w:t>นิยามคริปโทแอสเซ็ท</w:t>
            </w:r>
          </w:p>
        </w:tc>
        <w:tc>
          <w:tcPr>
            <w:tcW w:type="dxa" w:w="2880"/>
          </w:tcPr>
          <w:p>
            <w:r>
              <w:t>นิยามเดิมถูกยกเลิก (ข้อ 2)</w:t>
            </w:r>
          </w:p>
        </w:tc>
        <w:tc>
          <w:tcPr>
            <w:tcW w:type="dxa" w:w="2880"/>
          </w:tcPr>
          <w:p>
            <w:r>
              <w:t>= (1) คริปโทเคอร์เรนซี (2) โทเคนดิจิทัลเพื่อการใช้ประโยชน์ที่ไม่ได้มีวัตถุประสงค์หลักเพื่ออุปโภคบริโภค หรือเป็นการรับรอง/แทนเอกสารสิทธิ</w:t>
            </w:r>
          </w:p>
        </w:tc>
      </w:tr>
      <w:tr>
        <w:tc>
          <w:tcPr>
            <w:tcW w:type="dxa" w:w="2880"/>
          </w:tcPr>
          <w:p>
            <w:r>
              <w:t>การถือครองสินทรัพย์ดิจิทัลของกองทุน (ข้อ 9 (2)(ค))</w:t>
            </w:r>
          </w:p>
        </w:tc>
        <w:tc>
          <w:tcPr>
            <w:tcW w:type="dxa" w:w="2880"/>
          </w:tcPr>
          <w:p>
            <w:r>
              <w:t>ไม่มีรายการรองรับคริปโทอีทีเอฟ</w:t>
            </w:r>
          </w:p>
        </w:tc>
        <w:tc>
          <w:tcPr>
            <w:tcW w:type="dxa" w:w="2880"/>
          </w:tcPr>
          <w:p>
            <w:r>
              <w:t>เพิ่มให้ถือครองเพื่อประโยชน์ในการดำเนินงาน/ซื้อขายแลกเปลี่ยนคริปโทที่กองทุนมุ่งลงทุนได้ ตามภาคผนวก 3</w:t>
            </w:r>
          </w:p>
        </w:tc>
      </w:tr>
      <w:tr>
        <w:tc>
          <w:tcPr>
            <w:tcW w:type="dxa" w:w="2880"/>
          </w:tcPr>
          <w:p>
            <w:r>
              <w:t>ผู้รับฝากต่างประเทศ (ข้อ 9/2 (2) วรรคสอง)</w:t>
            </w:r>
          </w:p>
        </w:tc>
        <w:tc>
          <w:tcPr>
            <w:tcW w:type="dxa" w:w="2880"/>
          </w:tcPr>
          <w:p>
            <w:r>
              <w:t>ไม่มีวรรคนี้</w:t>
            </w:r>
          </w:p>
        </w:tc>
        <w:tc>
          <w:tcPr>
            <w:tcW w:type="dxa" w:w="2880"/>
          </w:tcPr>
          <w:p>
            <w:r>
              <w:t>ฝากกับผู้ให้บริการต่างประเทศได้เมื่อเป็นไปตามสภาวการณ์ที่ ก.ล.ต. ประกาศ และอยู่ใต้การกำกับของ regulator IOSCO MMoU Signatory A หรือ regulator ของประเทศที่มีมาตรฐานเพียงพอตามรายชื่อ ก.ล.ต.</w:t>
            </w:r>
          </w:p>
        </w:tc>
      </w:tr>
      <w:tr>
        <w:tc>
          <w:tcPr>
            <w:tcW w:type="dxa" w:w="2880"/>
          </w:tcPr>
          <w:p>
            <w:r>
              <w:t>รายการคริปโทที่ลงทุนได้ (ข้อ 10 (3/1))</w:t>
            </w:r>
          </w:p>
        </w:tc>
        <w:tc>
          <w:tcPr>
            <w:tcW w:type="dxa" w:w="2880"/>
          </w:tcPr>
          <w:p>
            <w:r>
              <w:t>ไม่มี</w:t>
            </w:r>
          </w:p>
        </w:tc>
        <w:tc>
          <w:tcPr>
            <w:tcW w:type="dxa" w:w="2880"/>
          </w:tcPr>
          <w:p>
            <w:r>
              <w:t>เพิ่มให้ ก.ล.ต. กำหนดรายการ โดย NAV เฉลี่ยในรอบปีบัญชีอย่างน้อย 80% ในคริปโทเดียว พิจารณา: สภาพคล่อง ตลาดซื้อขาย ตลาดอนุพันธ์ที่ถูกกำกับ ดัชนีราคาที่น่าเชื่อถือ และมี DA Custodian ที่รับฝากได้</w:t>
            </w:r>
          </w:p>
        </w:tc>
      </w:tr>
      <w:tr>
        <w:tc>
          <w:tcPr>
            <w:tcW w:type="dxa" w:w="2880"/>
          </w:tcPr>
          <w:p>
            <w:r>
              <w:t>กองทุนส่วนบุคคลสำหรับผู้ลงทุนทั่วไป (ข้อ 14 (2)(ข))</w:t>
            </w:r>
          </w:p>
        </w:tc>
        <w:tc>
          <w:tcPr>
            <w:tcW w:type="dxa" w:w="2880"/>
          </w:tcPr>
          <w:p>
            <w:r>
              <w:t>ถ้อยคำเดิมถูกยกเลิก</w:t>
            </w:r>
          </w:p>
        </w:tc>
        <w:tc>
          <w:tcPr>
            <w:tcW w:type="dxa" w:w="2880"/>
          </w:tcPr>
          <w:p>
            <w:r>
              <w:t>ลงทุนในคริปโทแอสเซ็ทได้เฉพาะทางอ้อมผ่านหน่วยกองทุนต่างประเทศหรือหน่วยลงทุนของกองทุนรวมเท่านั้น</w:t>
            </w:r>
          </w:p>
        </w:tc>
      </w:tr>
      <w:tr>
        <w:tc>
          <w:tcPr>
            <w:tcW w:type="dxa" w:w="2880"/>
          </w:tcPr>
          <w:p>
            <w:r>
              <w:t>ภาคผนวก 1, 2, 3, 4-retail MF, 4-AI, 4-PF</w:t>
            </w:r>
          </w:p>
        </w:tc>
        <w:tc>
          <w:tcPr>
            <w:tcW w:type="dxa" w:w="2880"/>
          </w:tcPr>
          <w:p>
            <w:r>
              <w:t>ฉบับเดิมจากหลายครั้งที่แก้ไข</w:t>
            </w:r>
          </w:p>
        </w:tc>
        <w:tc>
          <w:tcPr>
            <w:tcW w:type="dxa" w:w="2880"/>
          </w:tcPr>
          <w:p>
            <w:r>
              <w:t>ยกเลิกและใช้ภาคผนวกใหม่ท้ายประกาศ (เช่น ภาคผนวก 2 ข้อ 2.9.3 นิยามกองทุนคริปโทอีทีเอฟ ไม่มี exposure ใน derivatives ที่อ้างอิงคริปโท; ภาคผนวก 4-PF ระบุ retail PF ยังลงทุนคริปโทแอสเซ็ทโดยตรงไม่ได้)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นิยามคริปโทเคอร์เรนซีและคริปโทแอสเซ็ทฉบับปรับปรุง</w:t>
      </w:r>
    </w:p>
    <w:p>
      <w:pPr>
        <w:pStyle w:val="ListBullet"/>
      </w:pPr>
      <w:r>
        <w:t>หลักเกณฑ์ 5 ปัจจัยในการกำหนดรายการคริปโทที่ลงทุนได้</w:t>
      </w:r>
    </w:p>
    <w:p>
      <w:pPr>
        <w:pStyle w:val="ListBullet"/>
      </w:pPr>
      <w:r>
        <w:t>เงื่อนไขฝากสินทรัพย์ดิจิทัลกับผู้ให้บริการต่างประเทศ</w:t>
      </w:r>
    </w:p>
    <w:p>
      <w:pPr>
        <w:pStyle w:val="ListBullet"/>
      </w:pPr>
      <w:r>
        <w:t>ภาคผนวกอัตราส่วนการลงทุนใหม่ทั้งชุด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ยกเลิกนิยามคริปโทแอสเซ็ทเดิมและถ้อยคำข้อ 14 (2)(ข) เดิม แล้วใช้ข้อความใหม่แทน</w:t>
      </w:r>
    </w:p>
    <w:p>
      <w:pPr>
        <w:pStyle w:val="ListBullet"/>
      </w:pPr>
      <w:r>
        <w:t>ยกเลิกภาคผนวก 1, 2, 3, 4-retail MF, 4-AI, 4-PF ฉบับเดิม</w:t>
      </w:r>
    </w:p>
    <w:p>
      <w:pPr>
        <w:pStyle w:val="ListBullet"/>
      </w:pPr>
      <w:r>
        <w:t>จำกัดกองทุนส่วนบุคคลรายย่อยให้ลงทุนคริปโททางอ้อมเท่านั้น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ทน. 19/2569: ใช้นิยามและประเภทกองทุนร่วมกัน</w:t>
      </w:r>
    </w:p>
    <w:p>
      <w:pPr>
        <w:pStyle w:val="ListBullet"/>
      </w:pPr>
      <w:r>
        <w:t>สน. 15/2569: ก.ล.ต. ใช้อำนาจตามข้อ 10 (3/1) กำหนดรายการ BTC/ETH</w:t>
      </w:r>
    </w:p>
    <w:p>
      <w:pPr>
        <w:pStyle w:val="ListBullet"/>
      </w:pPr>
      <w:r>
        <w:t>ทธ. 22/2569: ผู้รับมอบหมายจัดการลงทุนคริปโทต้องเป็นผู้จัดการเงินทุนสินทรัพย์ดิจิทัล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บลจ./ผู้จัดการกองทุนต้องปรับระบบตรวจอัตราส่วนการลงทุนตามภาคผนวกใหม่</w:t>
      </w:r>
    </w:p>
    <w:p>
      <w:pPr>
        <w:pStyle w:val="ListBullet"/>
      </w:pPr>
      <w:r>
        <w:t>ผู้ให้บริการรับฝากต่างประเทศต้องตรวจว่าเข้าเงื่อนไข regulator ก่อนถูกแต่งตั้ง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กองทุนรวมและกองทุนส่วนบุคคลของไทยลงทุนใน Crypto ETF ที่จัดตั้งในไทยได้ภายใต้อัตราส่วนเดิม ผู้ลงทุนรายย่อยในกองทุนส่วนบุคคลเข้าถึงคริปโททางอ้อมเท่านั้น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ฝ่ายกฎหมาย/Compliance: อัปเดตตารางอัตราส่วนการลงทุนตามภาคผนวกใหม่</w:t>
      </w:r>
    </w:p>
    <w:p>
      <w:pPr>
        <w:pStyle w:val="ListNumber"/>
      </w:pPr>
      <w:r>
        <w:t>ฝ่ายไอที: ปรับกฎตรวจสอบอัตราส่วนในระบบ portfolio/compliance engine</w:t>
      </w:r>
    </w:p>
    <w:p>
      <w:pPr>
        <w:pStyle w:val="ListNumber"/>
      </w:pPr>
      <w:r>
        <w:t>ฝ่ายความเสี่ยง: ทำ due diligence ผู้รับฝากต่างประเทศตามเกณฑ์ regulator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