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วันที่ประกาศ: 2026-10-15</w:t>
      </w:r>
    </w:p>
    <w:p>
      <w:r>
        <w:t>แหล่งอ้างอิง: https://publish.sec.or.th/nrs/11280s.pdf</w:t>
      </w:r>
    </w:p>
    <w:p/>
    <w:p>
      <w:pPr>
        <w:pStyle w:val="Title"/>
      </w:pPr>
      <w:r>
        <w:t>ประกาศคณะกรรมการกำกับตลาดทุน ที่ ทธ. 21/2569 เรื่อง การให้บริการแก่ลูกค้าในการลงทุนในผลิตภัณฑ์ในตลาดทุนที่เป็นสกุลเงินตราต่างประเทศ (ฉบับที่ 7)</w:t>
      </w:r>
    </w:p>
    <w:p>
      <w:r>
        <w:t>สรุปและเปรียบเทียบสาระสำคัญกับหลักเกณฑ์เดิม สำหรับฝ่ายไอที ฝ่ายกฎหมาย/DPO และผู้บริหาร (ชุดกฎเกณฑ์ Crypto ETF ตามข่าว ก.ล.ต. ฉบับที่ 216/2569)</w:t>
      </w:r>
    </w:p>
    <w:p>
      <w:pPr>
        <w:pStyle w:val="Heading1"/>
      </w:pPr>
      <w:r>
        <w:t>1. ข้อมูลการประกาศจากแหล่งต้นทาง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ฉบับที่ประกาศ</w:t>
            </w:r>
          </w:p>
        </w:tc>
        <w:tc>
          <w:tcPr>
            <w:tcW w:type="dxa" w:w="4320"/>
          </w:tcPr>
          <w:p>
            <w:r>
              <w:t>ประกาศคณะกรรมการกำกับตลาดทุน ที่ ทธ. 21/2569 เรื่อง การให้บริการแก่ลูกค้าในการลงทุนในผลิตภัณฑ์ในตลาดทุนที่เป็นสกุลเงินตราต่างประเทศ (ฉบับที่ 7)</w:t>
            </w:r>
          </w:p>
        </w:tc>
      </w:tr>
      <w:tr>
        <w:tc>
          <w:tcPr>
            <w:tcW w:type="dxa" w:w="4320"/>
          </w:tcPr>
          <w:p>
            <w:r>
              <w:t>หน่วยงานผู้ออก</w:t>
            </w:r>
          </w:p>
        </w:tc>
        <w:tc>
          <w:tcPr>
            <w:tcW w:type="dxa" w:w="4320"/>
          </w:tcPr>
          <w:p>
            <w:r>
              <w:t>คณะกรรมการกำกับตลาดทุน (ก.ต.ท.)</w:t>
            </w:r>
          </w:p>
        </w:tc>
      </w:tr>
      <w:tr>
        <w:tc>
          <w:tcPr>
            <w:tcW w:type="dxa" w:w="4320"/>
          </w:tcPr>
          <w:p>
            <w:r>
              <w:t>อำนาจในการออก</w:t>
            </w:r>
          </w:p>
        </w:tc>
        <w:tc>
          <w:tcPr>
            <w:tcW w:type="dxa" w:w="4320"/>
          </w:tcPr>
          <w:p>
            <w:r>
              <w:t>มาตรา 16/6 วรรคสอง (1), มาตรา 113, 114 และ 116 แห่ง พระราชบัญญัติหลักทรัพย์และตลาดหลักทรัพย์ พ.ศ. 2535</w:t>
            </w:r>
          </w:p>
        </w:tc>
      </w:tr>
      <w:tr>
        <w:tc>
          <w:tcPr>
            <w:tcW w:type="dxa" w:w="4320"/>
          </w:tcPr>
          <w:p>
            <w:r>
              <w:t>ลงนามโดย</w:t>
            </w:r>
          </w:p>
        </w:tc>
        <w:tc>
          <w:tcPr>
            <w:tcW w:type="dxa" w:w="4320"/>
          </w:tcPr>
          <w:p>
            <w:r>
              <w:t>นางพรอนงค์ บุษราตระกูล เลขาธิการ ก.ล.ต. (ประธานกรรมการกำกับตลาดทุน)</w:t>
            </w:r>
          </w:p>
        </w:tc>
      </w:tr>
      <w:tr>
        <w:tc>
          <w:tcPr>
            <w:tcW w:type="dxa" w:w="4320"/>
          </w:tcPr>
          <w:p>
            <w:r>
              <w:t>วันเริ่มบังคับใช้</w:t>
            </w:r>
          </w:p>
        </w:tc>
        <w:tc>
          <w:tcPr>
            <w:tcW w:type="dxa" w:w="4320"/>
          </w:tcPr>
          <w:p>
            <w:r>
              <w:t>16 ตุลาคม 2569 (ข่าว ก.ล.ต. 216/2569)</w:t>
            </w:r>
          </w:p>
        </w:tc>
      </w:tr>
      <w:tr>
        <w:tc>
          <w:tcPr>
            <w:tcW w:type="dxa" w:w="4320"/>
          </w:tcPr>
          <w:p>
            <w:r>
              <w:t>แก้ไขเพิ่มเติม</w:t>
            </w:r>
          </w:p>
        </w:tc>
        <w:tc>
          <w:tcPr>
            <w:tcW w:type="dxa" w:w="4320"/>
          </w:tcPr>
          <w:p>
            <w:r>
              <w:t>ทธ. 1/2560 เรื่อง การให้บริการแก่ลูกค้าในการลงทุนในผลิตภัณฑ์ในตลาดทุนที่เป็นสกุลเงินตราต่างประเทศ (แก้ไขล่าสุดก่อนหน้า: ฉบับที่ 6, ทธ. 8/2568)</w:t>
            </w:r>
          </w:p>
        </w:tc>
      </w:tr>
      <w:tr>
        <w:tc>
          <w:tcPr>
            <w:tcW w:type="dxa" w:w="4320"/>
          </w:tcPr>
          <w:p>
            <w:r>
              <w:t>แหล่งที่พบ</w:t>
            </w:r>
          </w:p>
        </w:tc>
        <w:tc>
          <w:tcPr>
            <w:tcW w:type="dxa" w:w="4320"/>
          </w:tcPr>
          <w:p>
            <w:r>
              <w:t>https://www.sec.or.th/TH/Pages/News_Detail.aspx?SECID=13410 และไฟล์ https://publish.sec.or.th/nrs/11280s.pdf</w:t>
            </w:r>
          </w:p>
        </w:tc>
      </w:tr>
    </w:tbl>
    <w:p>
      <w:pPr>
        <w:pStyle w:val="Heading1"/>
      </w:pPr>
      <w:r>
        <w:t>2. วัตถุประสงค์และเหตุผลความจำเป็น</w:t>
      </w:r>
    </w:p>
    <w:p>
      <w:r>
        <w:t>ป้องกันไม่ให้ผู้ประกอบธุรกิจหลักทรัพย์นำลูกค้าไปลงทุนใน Crypto ETF ต่างประเทศในช่วงเริ่มต้น เพื่อให้ผลิตภัณฑ์ในไทยเป็นช่องทางหลักภายใต้เกณฑ์ที่เพิ่งวางไว้ (ข่าว ก.ล.ต. 216/2569 ระบุว่าใช้กับลูกค้าที่ไม่ใช่ผู้ลงทุนสถาบัน/รายใหญ่พิเศษ)</w:t>
      </w:r>
    </w:p>
    <w:p>
      <w:pPr>
        <w:pStyle w:val="Heading1"/>
      </w:pPr>
      <w:r>
        <w:t>3. ตารางเปรียบเทียบเชิงลึก (หลักเกณฑ์เดิม vs หลักเกณฑ์ใหม่)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ประเด็น</w:t>
            </w:r>
          </w:p>
        </w:tc>
        <w:tc>
          <w:tcPr>
            <w:tcW w:type="dxa" w:w="2880"/>
          </w:tcPr>
          <w:p>
            <w:r>
              <w:t>เดิม</w:t>
            </w:r>
          </w:p>
        </w:tc>
        <w:tc>
          <w:tcPr>
            <w:tcW w:type="dxa" w:w="2880"/>
          </w:tcPr>
          <w:p>
            <w:r>
              <w:t>ใหม่</w:t>
            </w:r>
          </w:p>
        </w:tc>
      </w:tr>
      <w:tr>
        <w:tc>
          <w:tcPr>
            <w:tcW w:type="dxa" w:w="2880"/>
          </w:tcPr>
          <w:p>
            <w:r>
              <w:t>ผลิตภัณฑ์ต่างประเทศที่นำมาให้บริการตามข้อ 12 (1)</w:t>
            </w:r>
          </w:p>
        </w:tc>
        <w:tc>
          <w:tcPr>
            <w:tcW w:type="dxa" w:w="2880"/>
          </w:tcPr>
          <w:p>
            <w:r>
              <w:t>ไม่มีข้อห้ามเรื่องกองทุนที่คล้าย Crypto ETF</w:t>
            </w:r>
          </w:p>
        </w:tc>
        <w:tc>
          <w:tcPr>
            <w:tcW w:type="dxa" w:w="2880"/>
          </w:tcPr>
          <w:p>
            <w:r>
              <w:t>เพิ่มวรรคสอง: ต้องไม่เป็นกองทุนที่มีลักษณะและเงื่อนไขทำนองเดียวกับกองทุนรวมคริปโทอีทีเอฟตามประกาศว่าด้วยการลงทุนของกองทุน</w:t>
            </w:r>
          </w:p>
        </w:tc>
      </w:tr>
    </w:tbl>
    <w:p/>
    <w:p>
      <w:r>
        <w:rPr>
          <w:b/>
        </w:rPr>
        <w:t>สิ่งที่บัญญัติเพิ่มขึ้นมาใหม่ (Additions)</w:t>
      </w:r>
    </w:p>
    <w:p>
      <w:pPr>
        <w:pStyle w:val="ListBullet"/>
      </w:pPr>
      <w:r>
        <w:t>ข้อห้ามนำผลิตภัณฑ์กองทุนต่างประเทศที่มีลักษณะเทียบเท่า Crypto ETF มาให้บริการตามข้อ 12 (1)</w:t>
      </w:r>
    </w:p>
    <w:p>
      <w:r>
        <w:rPr>
          <w:b/>
        </w:rPr>
        <w:t>สิ่งที่ถูกยกเลิก ผ่อนปรน หรือข้อยกเว้น (Deletions)</w:t>
      </w:r>
    </w:p>
    <w:p>
      <w:pPr>
        <w:pStyle w:val="ListBullet"/>
      </w:pPr>
      <w:r>
        <w:t>ไม่มีการยกเลิกข้อความเดิม</w:t>
      </w:r>
    </w:p>
    <w:p>
      <w:r>
        <w:rPr>
          <w:b/>
        </w:rPr>
        <w:t>บทกำหนดโทษและบทเฉพาะกาล</w:t>
      </w:r>
    </w:p>
    <w:p>
      <w:r>
        <w:t>ตัวประกาศไม่มีบทกำหนดโทษของตนเอง ผลของการฝ่าฝืนเป็นไปตามกลไกของ พระราชบัญญัติหลักทรัพย์และตลาดหลักทรัพย์ พ.ศ. 2535 และอำนาจกำกับของ ก.ล.ต. ซึ่งเป็นกฎหมายแม่ที่ประกาศอาศัยอำนาจ (รอบนี้ไม่ได้ตรวจรายมาตราของบทลงโทษในกฎหมายแม่) ไม่มีบทเฉพาะกาลในตัวประกาศ</w:t>
      </w:r>
    </w:p>
    <w:p>
      <w:r>
        <w:t>หมายเหตุ: หมายเหตุการอ่านต้นฉบับ: ตัวบทที่อ่านครบทุกข้อคือไฟล์ประกาศบนเว็บ ก.ล.ต. (publish.sec.or.th) ซึ่งยังมีลายน้ำ "-ร่าง-" และช่อง "ประกาศ ณ วันที่" ว่าง วันที่ลงราชกิจจานุเบกษา 15 ต.ค. 2569 ได้จากรายงานข่าวมติชน (ยังไม่ได้อ่านฉบับราชกิจจาฯ โดยตรงเพราะหน้าราชกิจจาฯ ติด Cloudflare) ส่วนตารางเปรียบเทียบ "ก่อน" ใช้ข้อความที่ประกาศนี้ยกเลิก/แทนที่/อ้างถึง และสรุป ก.ล.ต. ฉบับที่ 216/2569 ยังไม่ได้เทียบกับฉบับประมวลเดิมทุกข้อ</w:t>
      </w:r>
    </w:p>
    <w:p>
      <w:pPr>
        <w:pStyle w:val="Heading1"/>
      </w:pPr>
      <w:r>
        <w:t>4. การบูรณาการกับกฎหมายอื่น</w:t>
      </w:r>
    </w:p>
    <w:p>
      <w:pPr>
        <w:pStyle w:val="ListBullet"/>
      </w:pPr>
      <w:r>
        <w:t>ทน. 20/2569: นิยามและลักษณะกองทุนคริปโทอีทีเอฟที่ใช้เทียบ</w:t>
      </w:r>
    </w:p>
    <w:p>
      <w:pPr>
        <w:pStyle w:val="ListBullet"/>
      </w:pPr>
      <w:r>
        <w:t>สธ. 18/2569: ขั้นตอนให้บริการลูกค้าสำหรับ Crypto ETF ที่จัดตั้งในไทย</w:t>
      </w:r>
    </w:p>
    <w:p>
      <w:pPr>
        <w:pStyle w:val="ListBullet"/>
      </w:pPr>
      <w:r>
        <w:t>พระราชกำหนดการประกอบธุรกิจสินทรัพย์ดิจิทัล: นิยามคริปโทเคอร์เรนซี ผู้ให้บริการรับฝากสินทรัพย์ดิจิทัล (DA Custodian) และผู้จัดการเงินทุนสินทรัพย์ดิจิทัลอ้างอิงตามกฎหมายฉบับนี้</w:t>
      </w:r>
    </w:p>
    <w:p>
      <w:pPr>
        <w:pStyle w:val="ListBullet"/>
      </w:pPr>
      <w:r>
        <w:t>ชุดกฎเกณฑ์ Crypto ETF รวม 11 ฉบับ (ข่าว ก.ล.ต. ฉบับที่ 216/2569) ต้องอ่านร่วมกันทั้งชุด ฉบับนี้เป็นเพียงหนึ่งชิ้นของกรอบเดียวกัน</w:t>
      </w:r>
    </w:p>
    <w:p>
      <w:pPr>
        <w:pStyle w:val="Heading1"/>
      </w:pPr>
      <w:r>
        <w:t>5. ผลกระทบต่อภาคธุรกิจและบุคคล</w:t>
      </w:r>
    </w:p>
    <w:p>
      <w:r>
        <w:rPr>
          <w:b/>
        </w:rPr>
        <w:t>หน้าที่และสิทธิใหม่ของบริษัทเทคโนโลยีและภาคธุรกิจ:</w:t>
      </w:r>
    </w:p>
    <w:p>
      <w:pPr>
        <w:pStyle w:val="ListBullet"/>
      </w:pPr>
      <w:r>
        <w:t>บริษัทหลักทรัพย์ที่ขายกองทุนต่างประเทศต้องคัดกรองรายการผลิตภัณฑ์ให้ไม่มีกองทุนเข้าลักษณะ Crypto ETF</w:t>
      </w:r>
    </w:p>
    <w:p>
      <w:pPr>
        <w:pStyle w:val="ListBullet"/>
      </w:pPr>
      <w:r>
        <w:t>ฝ่ายไอทีต้องปิดหรือซ่อนรายการผลิตภัณฑ์ต่างประเทศที่เข้าข่ายในระบบเสนอขาย/แอปเทรด</w:t>
      </w:r>
    </w:p>
    <w:p>
      <w:r>
        <w:rPr>
          <w:b/>
        </w:rPr>
        <w:t>สิทธิและความคุ้มครองของประชาชน:</w:t>
      </w:r>
    </w:p>
    <w:p>
      <w:pPr>
        <w:pStyle w:val="ListBullet"/>
      </w:pPr>
      <w:r>
        <w:t>รายย่อยยังซื้อ Crypto ETF ต่างประเทศผ่านบริษัทหลักทรัพย์ไทยตามบริการข้อ 12 (1) ไม่ได้ในช่วงแรก ต้องใช้ผลิตภัณฑ์ที่จัดตั้งในไทย</w:t>
      </w:r>
    </w:p>
    <w:p>
      <w:pPr>
        <w:pStyle w:val="Heading1"/>
      </w:pPr>
      <w:r>
        <w:t>6. Checklist สิ่งที่ฝ่ายไอที/กฎหมายต้องลงมือทำทันที</w:t>
      </w:r>
    </w:p>
    <w:p>
      <w:pPr>
        <w:pStyle w:val="ListNumber"/>
      </w:pPr>
      <w:r>
        <w:t>Compliance: ทบทวนรายชื่อผลิตภัณฑ์ต่างประเทศที่เปิดให้บริการลูกค้า</w:t>
      </w:r>
    </w:p>
    <w:p>
      <w:pPr>
        <w:pStyle w:val="ListNumber"/>
      </w:pPr>
      <w:r>
        <w:t>ฝ่ายไอที: เพิ่ม rule บล็อกผลิตภัณฑ์ต่างประเทศที่เข้าลักษณะ Crypto ETF</w:t>
      </w:r>
    </w:p>
    <w:p>
      <w:pPr>
        <w:pStyle w:val="ListNumber"/>
      </w:pPr>
      <w:r>
        <w:t>ฝ่ายบริการลูกค้า: เตรียมคำตอบกรณีลูกค้าขอซื้อ Crypto ETF ต่างประเทศ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oma" w:hAnsi="Loma" w:cs="Loma" w:eastAsia="L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oma" w:hAnsi="Loma" w:cs="Loma" w:eastAsia="Lom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oma" w:hAnsi="Loma" w:cs="Loma" w:eastAsia="Lom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oma" w:hAnsi="Loma" w:cs="Loma" w:eastAsia="L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oma" w:hAnsi="Loma" w:cs="Loma" w:eastAsia="Loma"/>
    </w:rPr>
  </w:style>
  <w:style w:type="table" w:default="1" w:styleId="TableNormal">
    <w:name w:val="Normal Table"/>
    <w:uiPriority w:val="99"/>
    <w:semiHidden/>
    <w:unhideWhenUsed/>
    <w:rPr>
      <w:rFonts w:ascii="Loma" w:hAnsi="Loma" w:cs="Loma" w:eastAsia="Lom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oma" w:hAnsi="Loma" w:cs="Loma" w:eastAsia="Lom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oma" w:hAnsi="Loma" w:cs="Loma" w:eastAsia="Loma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oma" w:hAnsi="Loma" w:cs="Loma" w:eastAsia="Loma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oma" w:hAnsi="Loma" w:cs="Loma" w:eastAsia="Lom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oma" w:hAnsi="Loma" w:cs="Loma" w:eastAsia="Lom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oma" w:hAnsi="Loma" w:cs="Loma" w:eastAsia="Lom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oma" w:hAnsi="Loma" w:cs="Loma" w:eastAsia="Lom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oma" w:hAnsi="Loma" w:cs="Loma" w:eastAsia="Lom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oma" w:hAnsi="Loma" w:cs="Loma" w:eastAsia="Loma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oma" w:hAnsi="Loma" w:cs="Loma" w:eastAsia="Loma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oma" w:hAnsi="Loma" w:cs="Loma" w:eastAsia="Lom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oma" w:hAnsi="Loma" w:cs="Loma" w:eastAsia="Lom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oma" w:hAnsi="Loma" w:cs="Loma" w:eastAsia="Lom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oma" w:hAnsi="Loma" w:cs="Loma" w:eastAsia="L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oma" w:hAnsi="Loma" w:cs="Loma" w:eastAsia="Lom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oma" w:hAnsi="Loma" w:cs="Loma" w:eastAsia="Lom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oma" w:hAnsi="Loma" w:cs="Loma" w:eastAsia="Lom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oma" w:hAnsi="Loma" w:cs="Loma" w:eastAsia="Lom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oma" w:hAnsi="Loma" w:cs="Loma" w:eastAsia="Lom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oma" w:hAnsi="Loma" w:cs="Loma" w:eastAsia="Lom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oma" w:hAnsi="Loma" w:cs="Loma" w:eastAsia="Lom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oma" w:hAnsi="Loma" w:cs="Loma" w:eastAsia="Lom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oma" w:hAnsi="Loma" w:cs="Loma" w:eastAsia="Loma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oma" w:hAnsi="Loma" w:cs="Loma" w:eastAsia="Loma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oma" w:hAnsi="Loma" w:cs="Loma" w:eastAsia="Loma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oma" w:hAnsi="Loma" w:cs="Loma" w:eastAsia="Loma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oma" w:hAnsi="Loma" w:cs="Loma" w:eastAsia="Loma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oma" w:hAnsi="Loma" w:cs="Loma" w:eastAsia="Loma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oma" w:hAnsi="Loma" w:cs="Loma" w:eastAsia="Loma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oma" w:hAnsi="Loma" w:cs="Loma" w:eastAsia="Loma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oma" w:hAnsi="Loma" w:cs="Loma" w:eastAsia="Loma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oma" w:hAnsi="Loma" w:cs="Loma" w:eastAsia="Loma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oma" w:hAnsi="Loma" w:cs="Loma" w:eastAsia="Loma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oma" w:hAnsi="Loma" w:cs="Loma" w:eastAsia="Loma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oma" w:hAnsi="Loma" w:cs="Loma" w:eastAsia="Loma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oma" w:hAnsi="Loma" w:cs="Loma" w:eastAsia="Lom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oma" w:hAnsi="Loma" w:cs="Loma" w:eastAsia="Lom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oma" w:hAnsi="Loma" w:cs="Loma" w:eastAsia="Loma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oma" w:hAnsi="Loma" w:cs="Loma" w:eastAsia="Lom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oma" w:hAnsi="Loma" w:cs="Loma" w:eastAsia="Loma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oma" w:hAnsi="Loma" w:cs="Loma" w:eastAsia="Loma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