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2026-10-15</w:t>
      </w:r>
    </w:p>
    <w:p>
      <w:r>
        <w:t>แหล่งอ้างอิง: https://publish.sec.or.th/nrs/11282s.pdf</w:t>
      </w:r>
    </w:p>
    <w:p/>
    <w:p>
      <w:pPr>
        <w:pStyle w:val="Title"/>
      </w:pPr>
      <w:r>
        <w:t>ประกาศคณะกรรมการกำกับตลาดทุน ที่ ทธ. 23/2569 เรื่อง หลักเกณฑ์ เงื่อนไข และวิธีการให้กู้ยืมเงินเพื่อการซื้อหลักทรัพย์ (ฉบับที่ 4)</w:t>
      </w:r>
    </w:p>
    <w:p>
      <w:r>
        <w:t>สรุปและเปรียบเทียบสาระสำคัญกับหลักเกณฑ์เดิม สำหรับฝ่ายไอที ฝ่ายกฎหมาย/DPO และผู้บริหาร (ชุดกฎเกณฑ์ Crypto ETF ตามข่าว ก.ล.ต. ฉบับที่ 216/2569)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ประกาศคณะกรรมการกำกับตลาดทุน ที่ ทธ. 23/2569 เรื่อง หลักเกณฑ์ เงื่อนไข และวิธีการให้กู้ยืมเงินเพื่อการซื้อหลักทรัพย์ (ฉบับที่ 4)</w:t>
            </w:r>
          </w:p>
        </w:tc>
      </w:tr>
      <w:tr>
        <w:tc>
          <w:tcPr>
            <w:tcW w:type="dxa" w:w="4320"/>
          </w:tcPr>
          <w:p>
            <w:r>
              <w:t>หน่วยงานผู้ออก</w:t>
            </w:r>
          </w:p>
        </w:tc>
        <w:tc>
          <w:tcPr>
            <w:tcW w:type="dxa" w:w="4320"/>
          </w:tcPr>
          <w:p>
            <w:r>
              <w:t>คณะกรรมการกำกับตลาดทุน (ก.ต.ท.)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มาตรา 16/6 วรรคสอง (1) และมาตรา 102 แห่ง พระราชบัญญัติหลักทรัพย์และตลาดหลักทรัพย์ พ.ศ. 2535</w:t>
            </w:r>
          </w:p>
        </w:tc>
      </w:tr>
      <w:tr>
        <w:tc>
          <w:tcPr>
            <w:tcW w:type="dxa" w:w="4320"/>
          </w:tcPr>
          <w:p>
            <w:r>
              <w:t>ลงนามโดย</w:t>
            </w:r>
          </w:p>
        </w:tc>
        <w:tc>
          <w:tcPr>
            <w:tcW w:type="dxa" w:w="4320"/>
          </w:tcPr>
          <w:p>
            <w:r>
              <w:t>นางพรอนงค์ บุษราตระกูล เลขาธิการ ก.ล.ต. (ประธานกรรมการกำกับตลาดทุน)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16 ตุลาคม 2569 (ข่าว ก.ล.ต. 216/2569)</w:t>
            </w:r>
          </w:p>
        </w:tc>
      </w:tr>
      <w:tr>
        <w:tc>
          <w:tcPr>
            <w:tcW w:type="dxa" w:w="4320"/>
          </w:tcPr>
          <w:p>
            <w:r>
              <w:t>แก้ไขเพิ่มเติม</w:t>
            </w:r>
          </w:p>
        </w:tc>
        <w:tc>
          <w:tcPr>
            <w:tcW w:type="dxa" w:w="4320"/>
          </w:tcPr>
          <w:p>
            <w:r>
              <w:t>ทธ. 25/2552 เรื่อง หลักเกณฑ์ เงื่อนไข และวิธีการให้กู้ยืมเงินเพื่อการซื้อหลักทรัพย์ (แก้ไขล่าสุดก่อนหน้า: ฉบับที่ 3, ทธ. 33/2568)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https://www.sec.or.th/TH/Pages/News_Detail.aspx?SECID=13410 และไฟล์ https://publish.sec.or.th/nrs/11282s.pdf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ลดความเสี่ยงจากการใช้เลเวอเรจในสินทรัพย์ที่ผันผวนสูง โดยไม่ให้บริษัทหลักทรัพย์ให้กู้ยืมเงินเพื่อซื้อหน่วยลงทุนกองทุนรวมคริปโทอีทีเอฟ</w:t>
      </w:r>
    </w:p>
    <w:p>
      <w:pPr>
        <w:pStyle w:val="Heading1"/>
      </w:pPr>
      <w:r>
        <w:t>3. ตารางเปรียบเทียบเชิงลึก (หลักเกณฑ์เดิม vs หลักเกณฑ์ใหม่)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</w:t>
            </w:r>
          </w:p>
        </w:tc>
      </w:tr>
      <w:tr>
        <w:tc>
          <w:tcPr>
            <w:tcW w:type="dxa" w:w="2880"/>
          </w:tcPr>
          <w:p>
            <w:r>
              <w:t>นิยาม "กองทุนรวมคริปโทอีทีเอฟ" (ข้อ 1)</w:t>
            </w:r>
          </w:p>
        </w:tc>
        <w:tc>
          <w:tcPr>
            <w:tcW w:type="dxa" w:w="2880"/>
          </w:tcPr>
          <w:p>
            <w:r>
              <w:t>ไม่มีนิยามใน ทธ. 25/2552</w:t>
            </w:r>
          </w:p>
        </w:tc>
        <w:tc>
          <w:tcPr>
            <w:tcW w:type="dxa" w:w="2880"/>
          </w:tcPr>
          <w:p>
            <w:r>
              <w:t>เพิ่ม (15) หมายความตามประกาศว่าด้วยการลงทุนของกองทุน</w:t>
            </w:r>
          </w:p>
        </w:tc>
      </w:tr>
      <w:tr>
        <w:tc>
          <w:tcPr>
            <w:tcW w:type="dxa" w:w="2880"/>
          </w:tcPr>
          <w:p>
            <w:r>
              <w:t>หลักทรัพย์ที่ให้กู้ยืมซื้อได้ (ข้อ 2 วรรคหนึ่ง (1))</w:t>
            </w:r>
          </w:p>
        </w:tc>
        <w:tc>
          <w:tcPr>
            <w:tcW w:type="dxa" w:w="2880"/>
          </w:tcPr>
          <w:p>
            <w:r>
              <w:t>หลักทรัพย์จดทะเบียน ยกเว้นใบสำคัญแสดงสิทธิต่าง ๆ ตามรายการเดิม</w:t>
            </w:r>
          </w:p>
        </w:tc>
        <w:tc>
          <w:tcPr>
            <w:tcW w:type="dxa" w:w="2880"/>
          </w:tcPr>
          <w:p>
            <w:r>
              <w:t>ข้อยกเว้นเพิ่ม "หน่วยลงทุนของกองทุนรวมคริปโทอีทีเอฟ" จึงใช้มาร์จินซื้อไม่ได้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ข้อห้ามให้กู้ยืมเพื่อซื้อหน่วยลงทุนกองทุนรวมคริปโทอีทีเอฟ (โดยการตัดออกจากหลักทรัพย์ที่ให้กู้ได้)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ยกเลิกถ้อยคำ (1) ของข้อ 2 วรรคหนึ่งเดิม และใช้ข้อความใหม่แทน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ตัวประกาศไม่มีบทกำหนดโทษของตนเอง ผลของการฝ่าฝืนเป็นไปตามกลไกของ พระราชบัญญัติหลักทรัพย์และตลาดหลักทรัพย์ พ.ศ. 2535 และอำนาจกำกับของ ก.ล.ต. ซึ่งเป็นกฎหมายแม่ที่ประกาศอาศัยอำนาจ (รอบนี้ไม่ได้ตรวจรายมาตราของบทลงโทษในกฎหมายแม่) ไม่มีบทเฉพาะกาลในตัวประกาศ</w:t>
      </w:r>
    </w:p>
    <w:p>
      <w:r>
        <w:t>หมายเหตุ: หมายเหตุการอ่านต้นฉบับ: ตัวบทที่อ่านครบทุกข้อคือไฟล์ประกาศบนเว็บ ก.ล.ต. (publish.sec.or.th) ซึ่งยังมีลายน้ำ "-ร่าง-" และช่อง "ประกาศ ณ วันที่" ว่าง วันที่ลงราชกิจจานุเบกษา 15 ต.ค. 2569 ได้จากรายงานข่าวมติชน (ยังไม่ได้อ่านฉบับราชกิจจาฯ โดยตรงเพราะหน้าราชกิจจาฯ ติด Cloudflare) ส่วนตารางเปรียบเทียบ "ก่อน" ใช้ข้อความที่ประกาศนี้ยกเลิก/แทนที่/อ้างถึง และสรุป ก.ล.ต. ฉบับที่ 216/2569 ยังไม่ได้เทียบกับฉบับประมวลเดิมทุกข้อ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ทน. 20/2569: นิยามกองทุนรวมคริปโทอีทีเอฟ</w:t>
      </w:r>
    </w:p>
    <w:p>
      <w:pPr>
        <w:pStyle w:val="ListBullet"/>
      </w:pPr>
      <w:r>
        <w:t>สธ. 18/2569: ขั้นตอนให้ลูกค้ารับรู้ความเสี่ยงก่อนซื้อขาย</w:t>
      </w:r>
    </w:p>
    <w:p>
      <w:pPr>
        <w:pStyle w:val="ListBullet"/>
      </w:pPr>
      <w:r>
        <w:t>พระราชกำหนดการประกอบธุรกิจสินทรัพย์ดิจิทัล: นิยามคริปโทเคอร์เรนซี ผู้ให้บริการรับฝากสินทรัพย์ดิจิทัล (DA Custodian) และผู้จัดการเงินทุนสินทรัพย์ดิจิทัลอ้างอิงตามกฎหมายฉบับนี้</w:t>
      </w:r>
    </w:p>
    <w:p>
      <w:pPr>
        <w:pStyle w:val="ListBullet"/>
      </w:pPr>
      <w:r>
        <w:t>ชุดกฎเกณฑ์ Crypto ETF รวม 11 ฉบับ (ข่าว ก.ล.ต. ฉบับที่ 216/2569) ต้องอ่านร่วมกันทั้งชุด ฉบับนี้เป็นเพียงหนึ่งชิ้นของกรอบเดียวกัน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บริษัทหลักทรัพย์ต้องปรับรายชื่อหลักทรัพย์ที่ใช้มาร์จินได้ (marginable list) ให้ตัดหน่วยลงทุน Crypto ETF ออก</w:t>
      </w:r>
    </w:p>
    <w:p>
      <w:pPr>
        <w:pStyle w:val="ListBullet"/>
      </w:pPr>
      <w:r>
        <w:t>ระบบ risk/credit ต้องปฏิเสธคำสั่งซื้อ Crypto ETF ที่ใช้วงเงินมาร์จิน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นักลงทุนซื้อ Crypto ETF ได้เฉพาะด้วยเงินสดของตนเอง ใช้บัญชีมาร์จินไม่ได้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ฝ่ายไอที: อัปเดต marginable list และ rule ปฏิเสธคำสั่ง</w:t>
      </w:r>
    </w:p>
    <w:p>
      <w:pPr>
        <w:pStyle w:val="ListNumber"/>
      </w:pPr>
      <w:r>
        <w:t>ฝ่ายความเสี่ยง: ปรับ policy เครดิตให้ตรงกับข้อ 2 (1) ใหม่</w:t>
      </w:r>
    </w:p>
    <w:p>
      <w:pPr>
        <w:pStyle w:val="ListNumber"/>
      </w:pPr>
      <w:r>
        <w:t>ฝ่ายบริการลูกค้า: สื่อสารข้อจำกัดให้ลูกค้าบัญชีมาร์จิน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rPr>
      <w:rFonts w:ascii="Loma" w:hAnsi="Loma" w:cs="Loma" w:eastAsia="L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oma" w:hAnsi="Loma" w:cs="Loma" w:eastAsia="L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oma" w:hAnsi="Loma" w:cs="Loma" w:eastAsia="L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oma" w:hAnsi="Loma" w:cs="Loma" w:eastAsia="L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oma" w:hAnsi="Loma" w:cs="Loma" w:eastAsia="L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oma" w:hAnsi="Loma" w:cs="Loma" w:eastAsia="L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oma" w:hAnsi="Loma" w:cs="Loma" w:eastAsia="L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oma" w:hAnsi="Loma" w:cs="Loma" w:eastAsia="L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oma" w:hAnsi="Loma" w:cs="Loma" w:eastAsia="L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oma" w:hAnsi="Loma" w:cs="Loma" w:eastAsia="L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oma" w:hAnsi="Loma" w:cs="Loma" w:eastAsia="L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