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2026-10-15</w:t>
      </w:r>
    </w:p>
    <w:p>
      <w:r>
        <w:t>แหล่งอ้างอิง: https://publish.sec.or.th/nrs/11283s.pdf</w:t>
      </w:r>
    </w:p>
    <w:p/>
    <w:p>
      <w:pPr>
        <w:pStyle w:val="Title"/>
      </w:pPr>
      <w:r>
        <w:t>ประกาศสำนักงานคณะกรรมการกำกับหลักทรัพย์และตลาดหลักทรัพย์ ที่ สน. 15/2569 เรื่อง รายการคริปโทเคอร์เรนซีที่กองทุนรวมคริปโทอีทีเอฟสามารถลงทุนได้</w:t>
      </w:r>
    </w:p>
    <w:p>
      <w:r>
        <w:t>สรุปและเปรียบเทียบสาระสำคัญกับหลักเกณฑ์เดิม สำหรับฝ่ายไอที ฝ่ายกฎหมาย/DPO และผู้บริหาร (ชุดกฎเกณฑ์ Crypto ETF ตามข่าว ก.ล.ต. ฉบับที่ 216/2569)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ประกาศสำนักงานคณะกรรมการกำกับหลักทรัพย์และตลาดหลักทรัพย์ ที่ สน. 15/2569 เรื่อง รายการคริปโทเคอร์เรนซีที่กองทุนรวมคริปโทอีทีเอฟสามารถลงทุนได้</w:t>
            </w:r>
          </w:p>
        </w:tc>
      </w:tr>
      <w:tr>
        <w:tc>
          <w:tcPr>
            <w:tcW w:type="dxa" w:w="4320"/>
          </w:tcPr>
          <w:p>
            <w:r>
              <w:t>หน่วยงานผู้ออก</w:t>
            </w:r>
          </w:p>
        </w:tc>
        <w:tc>
          <w:tcPr>
            <w:tcW w:type="dxa" w:w="4320"/>
          </w:tcPr>
          <w:p>
            <w:r>
              <w:t>สำนักงาน ก.ล.ต.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ข้อ 10 วรรคหนึ่ง (3/1) แห่งประกาศ ทน. 87/2558 เรื่อง การลงทุนของกองทุน ซึ่งแก้ไขเพิ่มเติมโดย ทน. 20/2569</w:t>
            </w:r>
          </w:p>
        </w:tc>
      </w:tr>
      <w:tr>
        <w:tc>
          <w:tcPr>
            <w:tcW w:type="dxa" w:w="4320"/>
          </w:tcPr>
          <w:p>
            <w:r>
              <w:t>ลงนามโดย</w:t>
            </w:r>
          </w:p>
        </w:tc>
        <w:tc>
          <w:tcPr>
            <w:tcW w:type="dxa" w:w="4320"/>
          </w:tcPr>
          <w:p>
            <w:r>
              <w:t>นางพรอนงค์ บุษราตระกูล เลขาธิการ ก.ล.ต. (ประธานกรรมการกำกับตลาดทุน)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16 ตุลาคม 2569 (ข่าว ก.ล.ต. 216/2569)</w:t>
            </w:r>
          </w:p>
        </w:tc>
      </w:tr>
      <w:tr>
        <w:tc>
          <w:tcPr>
            <w:tcW w:type="dxa" w:w="4320"/>
          </w:tcPr>
          <w:p>
            <w:r>
              <w:t>แก้ไขเพิ่มเติม</w:t>
            </w:r>
          </w:p>
        </w:tc>
        <w:tc>
          <w:tcPr>
            <w:tcW w:type="dxa" w:w="4320"/>
          </w:tcPr>
          <w:p>
            <w:r>
              <w:t>ประกาศใหม่ ไม่มีฉบับเดิม (ออกตามอำนาจที่ ทน. 20/2569 เพิ่มขึ้น)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https://www.sec.or.th/TH/Pages/News_Detail.aspx?SECID=13410 และไฟล์ https://publish.sec.or.th/nrs/11283s.pdf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ระบุรายการคริปโทเคอร์เรนซีที่กองทุนรวมคริปโทอีทีเอฟลงทุนโดยตรงได้ในระยะเริ่มต้น เพื่อจำกัดความเสี่ยงให้เหลือสินทรัพย์ที่มีสภาพคล่องและการยอมรับสูง</w:t>
      </w:r>
    </w:p>
    <w:p>
      <w:pPr>
        <w:pStyle w:val="Heading1"/>
      </w:pPr>
      <w:r>
        <w:t>3. ตารางเปรียบเทียบเชิงลึก (หลักเกณฑ์เดิม vs หลักเกณฑ์ใหม่)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</w:t>
            </w:r>
          </w:p>
        </w:tc>
      </w:tr>
      <w:tr>
        <w:tc>
          <w:tcPr>
            <w:tcW w:type="dxa" w:w="2880"/>
          </w:tcPr>
          <w:p>
            <w:r>
              <w:t>รายการคริปโทที่ Crypto ETF ลงทุนตรงได้</w:t>
            </w:r>
          </w:p>
        </w:tc>
        <w:tc>
          <w:tcPr>
            <w:tcW w:type="dxa" w:w="2880"/>
          </w:tcPr>
          <w:p>
            <w:r>
              <w:t>ยังไม่มีรายการ (ไม่มีกองทุนประเภทนี้)</w:t>
            </w:r>
          </w:p>
        </w:tc>
        <w:tc>
          <w:tcPr>
            <w:tcW w:type="dxa" w:w="2880"/>
          </w:tcPr>
          <w:p>
            <w:r>
              <w:t>ลงทุนตรงให้ NAV เฉลี่ยในรอบปีบัญชีอย่างน้อย 80% ได้เฉพาะคริปโทรายการเดียวจาก (1) Bitcoin (BTC) หรือ (2) Ethereum (ETH)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รายการคริปโทที่ลงทุนได้: BTC และ ETH (เลือกได้เพียงรายการเดียวต่อกองทุน)</w:t>
      </w:r>
    </w:p>
    <w:p>
      <w:pPr>
        <w:pStyle w:val="ListBullet"/>
      </w:pPr>
      <w:r>
        <w:t>ย้ำเกณฑ์ NAV เฉลี่ยในรอบปีบัญชีอย่างน้อย 80%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ไม่มี เป็นประกาศใหม่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ตัวประกาศไม่มีบทกำหนดโทษของตนเอง ผลของการฝ่าฝืนเป็นไปตามกลไกของ พระราชบัญญัติหลักทรัพย์และตลาดหลักทรัพย์ พ.ศ. 2535 และอำนาจกำกับของ ก.ล.ต. ซึ่งเป็นกฎหมายแม่ที่ประกาศอาศัยอำนาจ (รอบนี้ไม่ได้ตรวจรายมาตราของบทลงโทษในกฎหมายแม่) ไม่มีบทเฉพาะกาลในตัวประกาศ</w:t>
      </w:r>
    </w:p>
    <w:p>
      <w:r>
        <w:t>หมายเหตุ: หมายเหตุการอ่านต้นฉบับ: ตัวบทที่อ่านครบทุกข้อคือไฟล์ประกาศบนเว็บ ก.ล.ต. (publish.sec.or.th) ซึ่งยังมีลายน้ำ "-ร่าง-" และช่อง "ประกาศ ณ วันที่" ว่าง วันที่ลงราชกิจจานุเบกษา 15 ต.ค. 2569 ได้จากรายงานข่าวมติชน (ยังไม่ได้อ่านฉบับราชกิจจาฯ โดยตรงเพราะหน้าราชกิจจาฯ ติด Cloudflare) ส่วนตารางเปรียบเทียบ "ก่อน" ใช้ข้อความที่ประกาศนี้ยกเลิก/แทนที่/อ้างถึง และสรุป ก.ล.ต. ฉบับที่ 216/2569 ยังไม่ได้เทียบกับฉบับประมวลเดิมทุกข้อ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ทน. 20/2569 ข้อ 5 (ข้อ 10 (3/1)): ให้ ก.ล.ต. กำหนดรายการโดยพิจารณาสภาพคล่อง ตลาด ดัชนี และ DA Custodian</w:t>
      </w:r>
    </w:p>
    <w:p>
      <w:pPr>
        <w:pStyle w:val="ListBullet"/>
      </w:pPr>
      <w:r>
        <w:t>สน. 19/2569 และ สธ. 20/2569: กำหนดผู้ดูแลผลประโยชน์ที่เก็บ BTC/ETH ของกองทุน</w:t>
      </w:r>
    </w:p>
    <w:p>
      <w:pPr>
        <w:pStyle w:val="ListBullet"/>
      </w:pPr>
      <w:r>
        <w:t>พระราชกำหนดการประกอบธุรกิจสินทรัพย์ดิจิทัล: นิยามคริปโทเคอร์เรนซี ผู้ให้บริการรับฝากสินทรัพย์ดิจิทัล (DA Custodian) และผู้จัดการเงินทุนสินทรัพย์ดิจิทัลอ้างอิงตามกฎหมายฉบับนี้</w:t>
      </w:r>
    </w:p>
    <w:p>
      <w:pPr>
        <w:pStyle w:val="ListBullet"/>
      </w:pPr>
      <w:r>
        <w:t>ชุดกฎเกณฑ์ Crypto ETF รวม 11 ฉบับ (ข่าว ก.ล.ต. ฉบับที่ 216/2569) ต้องอ่านร่วมกันทั้งชุด ฉบับนี้เป็นเพียงหนึ่งชิ้นของกรอบเดียวกัน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บลจ.ต้องเลือกคริปโทเพียงรายการเดียวต่อกองทุน และตั้งชื่อกองทุนให้สะท้อน</w:t>
      </w:r>
    </w:p>
    <w:p>
      <w:pPr>
        <w:pStyle w:val="ListBullet"/>
      </w:pPr>
      <w:r>
        <w:t>ผู้ให้บริการดัชนีราคาและตลาดซื้อขายต้องรองรับ BTC หรือ ETH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ผู้ลงทุนจะเห็น Crypto ETF ที่อ้างอิง Bitcoin หรือ Ethereum เท่านั้นในระยะแรก ไม่มีเหรียญอื่น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บลจ.: เลือกสินทรัพย์อ้างอิง (BTC หรือ ETH) และปรับ policy การลงทุน</w:t>
      </w:r>
    </w:p>
    <w:p>
      <w:pPr>
        <w:pStyle w:val="ListNumber"/>
      </w:pPr>
      <w:r>
        <w:t>ฝ่ายไอที: ตั้งระบบตรวจสัดส่วน ≥ 80% NAV เฉลี่ยทั้งปีบัญชี</w:t>
      </w:r>
    </w:p>
    <w:p>
      <w:pPr>
        <w:pStyle w:val="ListNumber"/>
      </w:pPr>
      <w:r>
        <w:t>ฝ่ายกฎหมาย: ติดตามการขยายรายการโดย ก.ล.ต. ในอนาคต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rPr>
      <w:rFonts w:ascii="Loma" w:hAnsi="Loma" w:cs="Loma" w:eastAsia="L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oma" w:hAnsi="Loma" w:cs="Loma" w:eastAsia="L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oma" w:hAnsi="Loma" w:cs="Loma" w:eastAsia="L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oma" w:hAnsi="Loma" w:cs="Loma" w:eastAsia="L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oma" w:hAnsi="Loma" w:cs="Loma" w:eastAsia="L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oma" w:hAnsi="Loma" w:cs="Loma" w:eastAsia="L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oma" w:hAnsi="Loma" w:cs="Loma" w:eastAsia="L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oma" w:hAnsi="Loma" w:cs="Loma" w:eastAsia="L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oma" w:hAnsi="Loma" w:cs="Loma" w:eastAsia="L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oma" w:hAnsi="Loma" w:cs="Loma" w:eastAsia="L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oma" w:hAnsi="Loma" w:cs="Loma" w:eastAsia="L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