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https://publish.sec.or.th/nrs/11284s.pdf</w:t>
      </w:r>
    </w:p>
    <w:p/>
    <w:p>
      <w:pPr>
        <w:pStyle w:val="Title"/>
      </w:pPr>
      <w:r>
        <w:t>ประกาศสำนักงานคณะกรรมการกำกับหลักทรัพย์และตลาดหลักทรัพย์ ที่ สน. 16/2569 เรื่อง รายละเอียดของโครงการจัดการกองทุนรวม (ฉบับที่ 12)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ประกาศสำนักงานคณะกรรมการกำกับหลักทรัพย์และตลาดหลักทรัพย์ ที่ สน. 16/2569 เรื่อง รายละเอียดของโครงการจัดการกองทุนรวม (ฉบับที่ 12)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สำนักงาน ก.ล.ต.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118 (1) แห่ง พระราชบัญญัติหลักทรัพย์และตลาดหลักทรัพย์ พ.ศ. 2535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สน. 29/2564 เรื่อง รายละเอียดของโครงการจัดการกองทุนรวม (แก้ไขล่าสุดก่อนหน้า: ฉบับที่ 10 สน. 53/2568 และฉบับที่ 7 สน. 3/2568)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https://publish.sec.or.th/nrs/11284s.pdf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กำหนดข้อมูลที่ต้องมีในโครงการจัดการกองทุนรวมคริปโทอีทีเอฟ ได้แก่ การจ่ายค่าธรรมเนียมด้วยสินทรัพย์ดิจิทัล นโยบายเก็บรักษาคริปโท และสิทธิ/ข้อจำกัดจากการถือครอง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ค่าธรรมเนียม/ค่าใช้จ่ายที่จ่ายด้วยสินทรัพย์ดิจิทัล (ข้อ 4 (9) วรรคสอง)</w:t>
            </w:r>
          </w:p>
        </w:tc>
        <w:tc>
          <w:tcPr>
            <w:tcW w:type="dxa" w:w="2880"/>
          </w:tcPr>
          <w:p>
            <w:r>
              <w:t>ไม่มีข้อกำหนดเรื่องการจ่ายด้วยสินทรัพย์ดิจิทัล</w:t>
            </w:r>
          </w:p>
        </w:tc>
        <w:tc>
          <w:tcPr>
            <w:tcW w:type="dxa" w:w="2880"/>
          </w:tcPr>
          <w:p>
            <w:r>
              <w:t>ต้องระบุข้อมูลการชำระนั้นในโครงการ (ถ้ามี) กรณีจ่ายให้ผู้ให้บริการที่จำเป็นต่อการลงทุนคริปโท</w:t>
            </w:r>
          </w:p>
        </w:tc>
      </w:tr>
      <w:tr>
        <w:tc>
          <w:tcPr>
            <w:tcW w:type="dxa" w:w="2880"/>
          </w:tcPr>
          <w:p>
            <w:r>
              <w:t>รายละเอียดเพิ่มเติมของโครงการ (ข้อ 5 (3/3))</w:t>
            </w:r>
          </w:p>
        </w:tc>
        <w:tc>
          <w:tcPr>
            <w:tcW w:type="dxa" w:w="2880"/>
          </w:tcPr>
          <w:p>
            <w:r>
              <w:t>ไม่มีรายการเฉพาะคริปโทอีทีเอฟ</w:t>
            </w:r>
          </w:p>
        </w:tc>
        <w:tc>
          <w:tcPr>
            <w:tcW w:type="dxa" w:w="2880"/>
          </w:tcPr>
          <w:p>
            <w:r>
              <w:t>ต้องมี (ก) นโยบายการเก็บรักษาคริปโทเคอร์เรนซีที่ลงทุน (ข) สิทธิที่ได้รับและข้อจำกัดจากการถือครอง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การเปิดเผยการจ่ายค่าธรรมเนียมด้วยสินทรัพย์ดิจิทัล</w:t>
      </w:r>
    </w:p>
    <w:p>
      <w:pPr>
        <w:pStyle w:val="ListBullet"/>
      </w:pPr>
      <w:r>
        <w:t>นโยบายเก็บรักษาคริปโท</w:t>
      </w:r>
    </w:p>
    <w:p>
      <w:pPr>
        <w:pStyle w:val="ListBullet"/>
      </w:pPr>
      <w:r>
        <w:t>สิทธิและข้อจำกัดจากการถือครองคริปโท (เช่น สิทธิที่เกี่ยวกับ fork/airdrop ตามที่โครงการระบุ)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ไม่มีการยกเลิกข้อความเดิม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สน. 17/2569: หนังสือชี้ชวนต้องสอดคล้องกับโครงการที่เปิดเผยตามฉบับนี้</w:t>
      </w:r>
    </w:p>
    <w:p>
      <w:pPr>
        <w:pStyle w:val="ListBullet"/>
      </w:pPr>
      <w:r>
        <w:t>ทน. 19/2569: ความพร้อมของ บลจ.ในการจัดตั้ง Crypto ETF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บลจ.ต้องปรับแม่แบบโครงการจัดการกองทุนให้มีหัวข้อเก็บรักษาคริปโทและสิทธิ/ข้อจำกัดจากการถือครอง</w:t>
      </w:r>
    </w:p>
    <w:p>
      <w:pPr>
        <w:pStyle w:val="ListBullet"/>
      </w:pPr>
      <w:r>
        <w:t>ฝ่ายไอทีต้องรองรับการบันทึกค่าใช้จ่ายที่จ่ายเป็นสินทรัพย์ดิจิทัล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ผู้ลงทุนอ่านโครงการแล้วรู้ว่าคริปโทถูกเก็บอย่างไร และมีสิทธิ/ข้อจำกัดอะไรบ้างจากการถือผ่านกองทุน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บลจ.: เพิ่มหัวข้อใหม่ในแม่แบบโครงการ</w:t>
      </w:r>
    </w:p>
    <w:p>
      <w:pPr>
        <w:pStyle w:val="ListNumber"/>
      </w:pPr>
      <w:r>
        <w:t>Compliance: ตรวจการเปิดเผยการจ่ายค่าธรรมเนียมด้วยสินทรัพย์ดิจิทัล</w:t>
      </w:r>
    </w:p>
    <w:p>
      <w:pPr>
        <w:pStyle w:val="ListNumber"/>
      </w:pPr>
      <w:r>
        <w:t>ฝ่ายไอที: เตรียมข้อมูลนโยบายเก็บรักษาจาก DA Custodian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