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วันที่ประกาศ: 2026-10-07</w:t>
      </w:r>
    </w:p>
    <w:p>
      <w:r>
        <w:t>แหล่งอ้างอิง: https://www.bot.or.th/content/dam/bot/fipcs/documents/FOG/2569/ThaiPDF/25690201.pdf</w:t>
      </w:r>
    </w:p>
    <w:p/>
    <w:p>
      <w:pPr>
        <w:pStyle w:val="Title"/>
      </w:pPr>
      <w:r>
        <w:t>ประกาศธนาคารแห่งประเทศไทย ที่ 44/2569 เรื่อง หลักเกณฑ์การบริหารจัดการความเสี่ยงร้านค้าสำหรับการรับชำระเงินด้วยวิธีการทางอิเล็กทรอนิกส์ (Merchant Fraud Management)</w:t>
      </w:r>
    </w:p>
    <w:p>
      <w:r>
        <w:t>สรุปและเปรียบเทียบสาระสำคัญของประกาศ ธปท. ที่ 44/2569 สำหรับฝ่ายไอที ฝ่ายกฎหมาย/DPO และฝ่ายสื่อสารองค์กร</w:t>
      </w:r>
    </w:p>
    <w:p>
      <w:pPr>
        <w:pStyle w:val="Heading1"/>
      </w:pPr>
      <w:r>
        <w:t>1. ข้อมูลการประกาศจากแหล่งต้นทาง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ประเภทเอกสาร</w:t>
            </w:r>
          </w:p>
        </w:tc>
        <w:tc>
          <w:tcPr>
            <w:tcW w:type="dxa" w:w="4320"/>
          </w:tcPr>
          <w:p>
            <w:r>
              <w:t>ประกาศธนาคารแห่งประเทศไทย พร้อมแนวปฏิบัติ ธปท. (มาตรฐานขั้นต่ำ)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เลขที่ / ลงวันที่</w:t>
            </w:r>
          </w:p>
        </w:tc>
        <w:tc>
          <w:tcPr>
            <w:tcW w:type="dxa" w:w="4320"/>
          </w:tcPr>
          <w:p>
            <w:r>
              <w:t>ที่ 44/2569 ลงวันที่ 29 กันยายน 2569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ราชกิจจานุเบกษา</w:t>
            </w:r>
          </w:p>
        </w:tc>
        <w:tc>
          <w:tcPr>
            <w:tcW w:type="dxa" w:w="4320"/>
          </w:tcPr>
          <w:p>
            <w:r>
              <w:t>เล่ม 143 ตอนพิเศษ 244 ง ลงวันที่ 7 ตุลาคม 2569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วันเริ่มบังคับใช้</w:t>
            </w:r>
          </w:p>
        </w:tc>
        <w:tc>
          <w:tcPr>
            <w:tcW w:type="dxa" w:w="4320"/>
          </w:tcPr>
          <w:p>
            <w:r>
              <w:t>8 ตุลาคม 2569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หนังสือนำส่ง</w:t>
            </w:r>
          </w:p>
        </w:tc>
        <w:tc>
          <w:tcPr>
            <w:tcW w:type="dxa" w:w="4320"/>
          </w:tcPr>
          <w:p>
            <w:r>
              <w:t>ธปท.ว. 6356/2569 ลงวันที่ 8 ตุลาคม 2569 (แนวปฏิบัติแนบลงวันที่ 8 ตุลาคม 2569)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อำนาจตามกฎหมาย</w:t>
            </w:r>
          </w:p>
        </w:tc>
        <w:tc>
          <w:tcPr>
            <w:tcW w:type="dxa" w:w="4320"/>
          </w:tcPr>
          <w:p>
            <w:r>
              <w:t>มาตรา 24, 25 และ 26 แห่ง พ.ร.บ.ระบบการชำระเงิน พ.ศ. 2560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แหล่งที่พบ</w:t>
            </w:r>
          </w:p>
        </w:tc>
        <w:tc>
          <w:tcPr>
            <w:tcW w:type="dxa" w:w="4320"/>
          </w:tcPr>
          <w:p>
            <w:r>
              <w:t>ธปท. (FIPCS) หนังสือเวียนลงวันที่ 8 ตุลาคม 2569</w:t>
            </w:r>
          </w:p>
        </w:tc>
      </w:tr>
    </w:tbl>
    <w:p/>
    <w:p>
      <w:r>
        <w:rPr>
          <w:b/>
        </w:rPr>
        <w:t xml:space="preserve">ขอบเขตการบังคับใช้: </w:t>
      </w:r>
      <w:r>
        <w:t>ผู้ประกอบธุรกิจบริการรับชำระเงินด้วยวิธีการทางอิเล็กทรอนิกส์ และผู้ประกอบธุรกิจบริการเงินอิเล็กทรอนิกส์ ภายใต้การกำกับตามกฎหมายว่าด้วยระบบการชำระเงิน</w:t>
      </w:r>
    </w:p>
    <w:p>
      <w:pPr>
        <w:pStyle w:val="Heading1"/>
      </w:pPr>
      <w:r>
        <w:t>2. วัตถุประสงค์และเหตุผลความจำเป็น</w:t>
      </w:r>
    </w:p>
    <w:p>
      <w:r>
        <w:t>ยกระดับการบริหารความเสี่ยงร้านค้าให้ได้มาตรฐานเดียวกัน เพื่อป้องกันและจำกัดความเสียหายจากการนำบริการรับชำระเงินไปใช้เป็นช่องทางทุจริต ฟอกเงิน หลีกเลี่ยงกฎหมาย และภัยทุจริตรูปแบบอื่น</w:t>
      </w:r>
    </w:p>
    <w:p>
      <w:r>
        <w:t>ประกาศนี้เป็นการยกระดับแนวนโยบายรู้จักร้านค้า (KYM) เดิมให้เป็นหลักเกณฑ์ที่ครอบคลุมตลอดวงจร ตั้งแต่รับร้านค้า ติดตามความผิดปกติ ไปจนถึงยุติความสัมพันธ์ และให้ความสำคัญกับร้านค้าหลัก (master merchant) เช่น แพลตฟอร์มตลาดสินค้าออนไลน์</w:t>
      </w:r>
    </w:p>
    <w:p>
      <w:pPr>
        <w:pStyle w:val="Heading1"/>
      </w:pPr>
      <w:r>
        <w:t>3. ตารางเปรียบเทียบเชิงลึก (กฎเกณฑ์เดิม vs กฎเกณฑ์ใหม่)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2545"/>
          </w:tcPr>
          <w:p>
            <w:r>
              <w:rPr>
                <w:b/>
                <w:color w:val="FFFFFF"/>
              </w:rPr>
              <w:t>ประเด็น</w:t>
            </w:r>
          </w:p>
        </w:tc>
        <w:tc>
          <w:tcPr>
            <w:tcW w:type="dxa" w:w="2880"/>
            <w:shd w:val="clear" w:color="auto" w:fill="0B2545"/>
          </w:tcPr>
          <w:p>
            <w:r>
              <w:rPr>
                <w:b/>
                <w:color w:val="FFFFFF"/>
              </w:rPr>
              <w:t>เดิม</w:t>
            </w:r>
          </w:p>
        </w:tc>
        <w:tc>
          <w:tcPr>
            <w:tcW w:type="dxa" w:w="2880"/>
            <w:shd w:val="clear" w:color="auto" w:fill="0B2545"/>
          </w:tcPr>
          <w:p>
            <w:r>
              <w:rPr>
                <w:b/>
                <w:color w:val="FFFFFF"/>
              </w:rPr>
              <w:t>ใหม่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t>ฐานเอกสาร</w:t>
            </w:r>
          </w:p>
        </w:tc>
        <w:tc>
          <w:tcPr>
            <w:tcW w:type="dxa" w:w="2880"/>
          </w:tcPr>
          <w:p>
            <w:r>
              <w:t>แนวนโยบาย KYM ลงวันที่ 4 ต.ค. 2564 และหนังสือเวียน ฝนช.(02) ว. 5/2566</w:t>
            </w:r>
          </w:p>
        </w:tc>
        <w:tc>
          <w:tcPr>
            <w:tcW w:type="dxa" w:w="2880"/>
          </w:tcPr>
          <w:p>
            <w:r>
              <w:t>ประกาศ ธปท. ที่ 44/2569 ออกตามมาตรา 24-26 พ.ร.บ.ระบบการชำระเงิน พร้อมแนวปฏิบัติมาตรฐานขั้นต่ำ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t>ขอบเขตการบริหารความเสี่ยง</w:t>
            </w:r>
          </w:p>
        </w:tc>
        <w:tc>
          <w:tcPr>
            <w:tcW w:type="dxa" w:w="2880"/>
          </w:tcPr>
          <w:p>
            <w:r>
              <w:t>เน้นการรู้จักร้านค้า (KYM) เป็นหลัก</w:t>
            </w:r>
          </w:p>
        </w:tc>
        <w:tc>
          <w:tcPr>
            <w:tcW w:type="dxa" w:w="2880"/>
          </w:tcPr>
          <w:p>
            <w:r>
              <w:t>ครอบคลุมตลอดวงจร: ประเมินระดับความเสี่ยง, รู้จักร้านค้าก่อนรับ, ตรวจจับ, ดำเนินการกับร้านค้า, แก้ไขสถานการณ์และดูแลร้านค้า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t>การจัดระดับความเสี่ยง</w:t>
            </w:r>
          </w:p>
        </w:tc>
        <w:tc>
          <w:tcPr>
            <w:tcW w:type="dxa" w:w="2880"/>
          </w:tcPr>
          <w:p>
            <w:r>
              <w:t>ไม่กำหนดการแบ่งระดับร้านค้าอย่างเป็นระบบในระดับประกาศ</w:t>
            </w:r>
          </w:p>
        </w:tc>
        <w:tc>
          <w:tcPr>
            <w:tcW w:type="dxa" w:w="2880"/>
          </w:tcPr>
          <w:p>
            <w:r>
              <w:t>ต้องแบ่งอย่างน้อย 3 ระดับ: ร้านค้าทั่วไป, ร้านค้าความเสี่ยงสูง (เช่น อัญมณี ทองคำ สินทรัพย์ดิจิทัลที่ไม่มีแหล่งที่มาชัดเจน), ร้านค้าที่มีลักษณะต้องห้าม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t>ร้านค้าหลักและร้านค้าอื่นภายใต้ร้านค้าหลัก</w:t>
            </w:r>
          </w:p>
        </w:tc>
        <w:tc>
          <w:tcPr>
            <w:tcW w:type="dxa" w:w="2880"/>
          </w:tcPr>
          <w:p>
            <w:r>
              <w:t>ไม่มีหลักเกณฑ์เฉพาะ</w:t>
            </w:r>
          </w:p>
        </w:tc>
        <w:tc>
          <w:tcPr>
            <w:tcW w:type="dxa" w:w="2880"/>
          </w:tcPr>
          <w:p>
            <w:r>
              <w:t>ต้องตรวจสอบนโยบายคัดกรองของร้านค้าหลัก และใช้หลักเกณฑ์เดียวกันกับร้านค้าอื่นภายใต้ตน หรือให้ร้านค้าหลักรับผิดชอบความเสียหายจากความบกพร่องของตน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t>การใช้ข้อมูลภายนอก</w:t>
            </w:r>
          </w:p>
        </w:tc>
        <w:tc>
          <w:tcPr>
            <w:tcW w:type="dxa" w:w="2880"/>
          </w:tcPr>
          <w:p>
            <w:r>
              <w:t>ไม่ระบุ</w:t>
            </w:r>
          </w:p>
        </w:tc>
        <w:tc>
          <w:tcPr>
            <w:tcW w:type="dxa" w:w="2880"/>
          </w:tcPr>
          <w:p>
            <w:r>
              <w:t>ต้องใช้รายชื่อเจ้าของบัญชีม้าจาก ปปง. และระบบ Central Fraud Registry (CFR) ประกอบการประเมินและตรวจจับ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t>การเชื่อมต่อระบบระหว่างผู้ให้บริการ</w:t>
            </w:r>
          </w:p>
        </w:tc>
        <w:tc>
          <w:tcPr>
            <w:tcW w:type="dxa" w:w="2880"/>
          </w:tcPr>
          <w:p>
            <w:r>
              <w:t>ไม่ระบุ</w:t>
            </w:r>
          </w:p>
        </w:tc>
        <w:tc>
          <w:tcPr>
            <w:tcW w:type="dxa" w:w="2880"/>
          </w:tcPr>
          <w:p>
            <w:r>
              <w:t>ผู้ให้บริการที่เชื่อมต่อให้ผู้ให้บริการรายอื่นต้องรู้จัก บริหารความเสี่ยง และควบคุมดูแลทุกทอดของการเชื่อมต่อ</w:t>
            </w:r>
          </w:p>
        </w:tc>
      </w:tr>
    </w:tbl>
    <w:p/>
    <w:p>
      <w:r>
        <w:rPr>
          <w:b/>
        </w:rPr>
        <w:t>สิ่งที่บัญญัติเพิ่มขึ้นมาใหม่ (Additions)</w:t>
      </w:r>
    </w:p>
    <w:p>
      <w:pPr>
        <w:pStyle w:val="ListBullet"/>
      </w:pPr>
      <w:r>
        <w:t>ระบบตรวจจับธุรกรรมผิดปกติที่ปรับตามระดับความเสี่ยง และการตรวจจับเชิงรุกสำหรับร้านค้าความเสี่ยงสูง</w:t>
      </w:r>
    </w:p>
    <w:p>
      <w:pPr>
        <w:pStyle w:val="ListBullet"/>
      </w:pPr>
      <w:r>
        <w:t>การจัดทำ watch list ร้านค้าและเว็บไซต์น่าสงสัย ที่ต้องเก็บไว้ให้ ธปท. ตรวจสอบได้</w:t>
      </w:r>
    </w:p>
    <w:p>
      <w:pPr>
        <w:pStyle w:val="ListBullet"/>
      </w:pPr>
      <w:r>
        <w:t>การตรวจสอบหน้าร้านหรือวิธีเทียบเคียง (site visit) และการอนุมัติโดยผู้บริหารระดับสูงสำหรับร้านค้าความเสี่ยงสูง</w:t>
      </w:r>
    </w:p>
    <w:p>
      <w:pPr>
        <w:pStyle w:val="ListBullet"/>
      </w:pPr>
      <w:r>
        <w:t>การกำหนดวงเงินรับชำระที่เหมาะสมกับความเสี่ยง และการขยายระยะเวลาโอนเงินเมื่อมีธุรกรรมน่าสงสัย</w:t>
      </w:r>
    </w:p>
    <w:p>
      <w:pPr>
        <w:pStyle w:val="ListBullet"/>
      </w:pPr>
      <w:r>
        <w:t>ช่องทางรับแจ้งเหตุจากร้านค้า ระยะเวลาดูแลที่ชัดเจน และการเยียวยาเมื่อความเสียหายเกิดจากความบกพร่องของผู้ประกอบธุรกิจ</w:t>
      </w:r>
    </w:p>
    <w:p>
      <w:pPr>
        <w:pStyle w:val="ListBullet"/>
      </w:pPr>
      <w:r>
        <w:t>การเก็บข้อมูลร้านค้า ผู้มีอำนาจจัดการ ผู้ได้รับประโยชน์ที่แท้จริง ตามกฎหมายคุ้มครองข้อมูลส่วนบุคคลและกฎหมายฟอกเงิน</w:t>
      </w:r>
    </w:p>
    <w:p>
      <w:r>
        <w:rPr>
          <w:b/>
        </w:rPr>
        <w:t>สิ่งที่ถูกยกเลิก ผ่อนปรน หรือข้อยกเว้น (Deletions)</w:t>
      </w:r>
    </w:p>
    <w:p>
      <w:pPr>
        <w:pStyle w:val="ListBullet"/>
      </w:pPr>
      <w:r>
        <w:t>ยกเลิกแนวนโยบาย KYM ลงวันที่ 4 ตุลาคม 2564</w:t>
      </w:r>
    </w:p>
    <w:p>
      <w:pPr>
        <w:pStyle w:val="ListBullet"/>
      </w:pPr>
      <w:r>
        <w:t>ยกเลิกหนังสือเวียน ฝนช.(02) ว. 5/2566 เรื่องการปฏิบัติตามแนวนโยบาย KYM ลงวันที่ 14 มีนาคม 2566</w:t>
      </w:r>
    </w:p>
    <w:p>
      <w:pPr>
        <w:pStyle w:val="ListBullet"/>
      </w:pPr>
      <w:r>
        <w:t>ยกเลิกแนวนโยบายการบริหารจัดการภัยทุจริตจากการทำธุรกรรมทางการเงิน ลงวันที่ 29 มีนาคม 2566 เฉพาะส่วนที่เกี่ยวข้องกับผู้ประกอบธุรกิจตามประกาศนี้</w:t>
      </w:r>
    </w:p>
    <w:p>
      <w:pPr>
        <w:pStyle w:val="ListBullet"/>
      </w:pPr>
      <w:r>
        <w:t>ผ่อนผัน: ผู้ประกอบธุรกิจขอผ่อนผันต่อ ธปท. ได้เมื่อปฏิบัติตามไม่ได้เพราะเหตุจำเป็นหรือพฤติการณ์พิเศษ (ธปท. จะอนุญาตหรือไม่ก็ได้)</w:t>
      </w:r>
    </w:p>
    <w:p>
      <w:r>
        <w:rPr>
          <w:b/>
        </w:rPr>
        <w:t>บทกำหนดโทษและบทเฉพาะกาล</w:t>
      </w:r>
    </w:p>
    <w:p>
      <w:r>
        <w:t>ตัวประกาศไม่ได้ระบุโทษปรับหรือโทษอาญาโดยตรง แต่กำหนดให้ผู้ประกอบธุรกิจ กรรมการ หรือผู้มีอำนาจจัดการที่ถูกลงโทษปรับทางปกครองจากการฝ่าฝืนประกาศนี้ ต้องเปิดเผยข้อมูลตามหลักเกณฑ์ Market Conduct โดยอนุโลม (ธปท. อาจสั่งไม่ให้เปิดเผยได้) ทั้งนี้ให้ตรวจบทกำหนดโทษในกฎหมายแม่ (พ.ร.บ.ระบบการชำระเงิน) เพิ่มเติม</w:t>
      </w:r>
    </w:p>
    <w:p>
      <w:r>
        <w:t>บทเฉพาะกาล: ข้อ 5.3.1 (การกำกับดูแลและนโยบาย) ต้องดำเนินการให้เสร็จภายใน 90 วันนับจากวันมีผลบังคับใช้ (ประมาณ 6 มกราคม 2570) และร้านค้าที่ให้บริการอยู่ก่อนวันมีผลบังคับใช้ต้องทบทวนและปฏิบัติตามข้อ 5.3.2 ภายใน 1 ปี (ประมาณ 8 ตุลาคม 2570) โดยไม่ต้องขอผ่อนผัน</w:t>
      </w:r>
    </w:p>
    <w:p>
      <w:r>
        <w:t>หมายเหตุ: ข้อความข้างต้นสรุปจากเอกสารที่ ธปท. เผยแพร่และเข้าถึงได้ในรอบนี้ ไม่ใช่คำแนะนำทางกฎหมาย ควรตรวจฉบับเต็มในราชกิจจานุเบกษาก่อนนำไปปฏิบัติ</w:t>
      </w:r>
    </w:p>
    <w:p>
      <w:pPr>
        <w:pStyle w:val="Heading1"/>
      </w:pPr>
      <w:r>
        <w:t>4. การบูรณาการกับกฎหมายอื่น</w:t>
      </w:r>
    </w:p>
    <w:p>
      <w:pPr>
        <w:pStyle w:val="ListBullet"/>
      </w:pPr>
      <w:r>
        <w:rPr>
          <w:b/>
        </w:rPr>
        <w:t xml:space="preserve">พ.ร.บ.ระบบการชำระเงิน พ.ศ. 2560: </w:t>
      </w:r>
      <w:r>
        <w:t>เป็นกฎหมายแม่ที่ให้อำนาจ ธปท. ออกประกาศนี้ (มาตรา 24, 25, 26)</w:t>
      </w:r>
    </w:p>
    <w:p>
      <w:pPr>
        <w:pStyle w:val="ListBullet"/>
      </w:pPr>
      <w:r>
        <w:rPr>
          <w:b/>
        </w:rPr>
        <w:t xml:space="preserve">กฎหมายป้องกันและปราบปรามการฟอกเงิน: </w:t>
      </w:r>
      <w:r>
        <w:t>การรู้จักและพิสูจน์ตัวตนร้านค้า ผู้มีอำนาจจัดการ และผู้ได้รับประโยชน์ที่แท้จริง ต้องเป็นไปตามกฎหมายฟอกเงินและหลักเกณฑ์ KYC ของ ธปท.</w:t>
      </w:r>
    </w:p>
    <w:p>
      <w:pPr>
        <w:pStyle w:val="ListBullet"/>
      </w:pPr>
      <w:r>
        <w:rPr>
          <w:b/>
        </w:rPr>
        <w:t xml:space="preserve">กฎหมายป้องกันและปราบปรามอาชญากรรมทางเทคโนโลยี: </w:t>
      </w:r>
      <w:r>
        <w:t>ผู้ประกอบธุรกิจต้องมีกลไกส่งผ่านข้อมูลภัยทุจริตอย่างรวดเร็ว และสนับสนุนข้อมูลแก่พนักงานสอบสวน</w:t>
      </w:r>
    </w:p>
    <w:p>
      <w:pPr>
        <w:pStyle w:val="ListBullet"/>
      </w:pPr>
      <w:r>
        <w:rPr>
          <w:b/>
        </w:rPr>
        <w:t xml:space="preserve">พ.ร.บ.คุ้มครองข้อมูลส่วนบุคคล พ.ศ. 2562 (PDPA): </w:t>
      </w:r>
      <w:r>
        <w:t>การเก็บและใช้ข้อมูลร้านค้า ผู้มีอำนาจจัดการ และผู้ได้รับประโยชน์ที่แท้จริงต้องมีฐานทางกฎหมายและมาตรการรักษาความปลอดภัย</w:t>
      </w:r>
    </w:p>
    <w:p>
      <w:pPr>
        <w:pStyle w:val="ListBullet"/>
      </w:pPr>
      <w:r>
        <w:rPr>
          <w:b/>
        </w:rPr>
        <w:t xml:space="preserve">ประมวลกฎหมายแพ่งและพาณิชย์: </w:t>
      </w:r>
      <w:r>
        <w:t>ข้อตกลงในสัญญาให้บริการที่แบ่งหน้าที่ความรับผิดชอบระหว่างผู้ให้บริการ ร้านค้าหลัก และร้านค้าอื่น ต้องทำเป็นลายลักษณ์อักษร</w:t>
      </w:r>
    </w:p>
    <w:p>
      <w:pPr>
        <w:pStyle w:val="Heading1"/>
      </w:pPr>
      <w:r>
        <w:t>5. ผลกระทบต่อภาคธุรกิจและบุคคล</w:t>
      </w:r>
    </w:p>
    <w:p>
      <w:r>
        <w:rPr>
          <w:b/>
        </w:rPr>
        <w:t>หน้าที่ใหม่ของภาคธุรกิจและบริษัทเทคโนโลยี:</w:t>
      </w:r>
    </w:p>
    <w:p>
      <w:pPr>
        <w:pStyle w:val="ListBullet"/>
      </w:pPr>
      <w:r>
        <w:t>ผู้ให้บริการรับชำระเงิน/e-Money: ต้องปรับนโยบายบริหารความเสี่ยงร้านค้า ระบบ onboarding ระบบตรวจจับ และสัญญาให้บริการ ให้ครบภายในกำหนดเปลี่ยนผ่าน</w:t>
      </w:r>
    </w:p>
    <w:p>
      <w:pPr>
        <w:pStyle w:val="ListBullet"/>
      </w:pPr>
      <w:r>
        <w:t>แพลตฟอร์มตลาดสินค้าออนไลน์ (ร้านค้าหลัก): ต้องแสดงนโยบายคัดกรองร้านค้าอื่นภายใต้ตนต่อผู้ให้บริการ และอาจต้องรับผิดชอบเมื่อเกิดความเสียหายจากความบกพร่องของตน</w:t>
      </w:r>
    </w:p>
    <w:p>
      <w:pPr>
        <w:pStyle w:val="ListBullet"/>
      </w:pPr>
      <w:r>
        <w:t>ทีมไอที/ความปลอดภัย: ต้องเชื่อมข้อมูล CFR และรายชื่อบัญชีม้าเข้าระบบประเมินความเสี่ยง จัดทำ watch list และบันทึกข้อมูลในระบบที่มั่นคงปลอดภัย</w:t>
      </w:r>
    </w:p>
    <w:p>
      <w:r>
        <w:rPr>
          <w:b/>
        </w:rPr>
        <w:t>สิทธิและความคุ้มครองของประชาชน:</w:t>
      </w:r>
    </w:p>
    <w:p>
      <w:pPr>
        <w:pStyle w:val="ListBullet"/>
      </w:pPr>
      <w:r>
        <w:t>ร้านค้ารายย่อยจะถูกตรวจสอบเข้มขึ้นตอนสมัครและระหว่างใช้บริการ อาจถูกกำหนดวงเงินหรือชะลอการโอนเงินเมื่อมีธุรกรรมน่าสงสัย แต่มีสิทธิได้รับการแก้ไขโดยเร็วหากไม่เกี่ยวข้องกับการทุจริต</w:t>
      </w:r>
    </w:p>
    <w:p>
      <w:pPr>
        <w:pStyle w:val="ListBullet"/>
      </w:pPr>
      <w:r>
        <w:t>ผู้ซื้อสินค้า/ประชาชนได้รับความคุ้มครองมากขึ้นจากการลดร้านค้าหลอกลวงและบัญชีม้าในระบบรับชำระเงิน</w:t>
      </w:r>
    </w:p>
    <w:p>
      <w:pPr>
        <w:pStyle w:val="Heading1"/>
      </w:pPr>
      <w:r>
        <w:t>6. Checklist สิ่งที่ฝ่ายไอที/กฎหมายต้องลงมือทำทันที</w:t>
      </w:r>
    </w:p>
    <w:p>
      <w:pPr>
        <w:pStyle w:val="ListNumber"/>
      </w:pPr>
      <w:r>
        <w:t>จัดทำแผนปฏิบัติตามข้อ 5.3.1 ให้เสร็จก่อนประมาณ 6 มกราคม 2570 และเสนอคณะกรรมการอนุมัตินโยบายใหม่</w:t>
      </w:r>
    </w:p>
    <w:p>
      <w:pPr>
        <w:pStyle w:val="ListNumber"/>
      </w:pPr>
      <w:r>
        <w:t>ทำบัญชีร้านค้าเดิมทั้งหมด จัดระดับความเสี่ยง 3 ระดับ และวางแผนทบทวนให้เสร็จก่อนประมาณ 8 ตุลาคม 2570</w:t>
      </w:r>
    </w:p>
    <w:p>
      <w:pPr>
        <w:pStyle w:val="ListNumber"/>
      </w:pPr>
      <w:r>
        <w:t>ตรวจสอบสัญญากับร้านค้าหลักและร้านค้าอื่น ว่าแบ่งหน้าที่และความรับผิดตามที่ประกาศกำหนด</w:t>
      </w:r>
    </w:p>
    <w:p>
      <w:pPr>
        <w:pStyle w:val="ListNumber"/>
      </w:pPr>
      <w:r>
        <w:t>เชื่อมต่อแหล่งข้อมูลบัญชีม้าและ CFR เข้ากระบวนการ onboarding และการตรวจจับธุรกรรม</w:t>
      </w:r>
    </w:p>
    <w:p>
      <w:pPr>
        <w:pStyle w:val="ListNumber"/>
      </w:pPr>
      <w:r>
        <w:t>ดาวน์โหลดแนวปฏิบัติ ธปท. ฉบับเต็มเพื่อเทียบมาตรฐานขั้นต่ำ เพราะการปฏิบัติตามแนวปฏิบัติถือว่าปฏิบัติตามประกาศในเรื่องนั้น</w:t>
      </w:r>
    </w:p>
    <w:p>
      <w:pPr>
        <w:pStyle w:val="ListNumber"/>
      </w:pPr>
      <w:r>
        <w:t>กำหนดผู้รับผิดชอบรายงานต่อ ธปท. และประสานงานกับพนักงานสอบสวน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