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2026-10-07</w:t>
      </w:r>
    </w:p>
    <w:p>
      <w:r>
        <w:t>แหล่งอ้างอิง: https://www.bot.or.th/content/dam/bot/fipcs/documents/FPG/2569/ThaiPDF/25690200.pdf</w:t>
      </w:r>
    </w:p>
    <w:p/>
    <w:p>
      <w:pPr>
        <w:pStyle w:val="Title"/>
      </w:pPr>
      <w:r>
        <w:t>ประกาศธนาคารแห่งประเทศไทย ที่ 45/2569 เรื่อง หลักเกณฑ์ วิธีการ และเงื่อนไขการขออนุญาตประกอบธุรกิจให้บริการเครื่อง White-label Smart Machine (WSM)</w:t>
      </w:r>
    </w:p>
    <w:p>
      <w:r>
        <w:t>สรุปและเปรียบเทียบสาระสำคัญของประกาศ ธปท. ที่ 45/2569 สำหรับฝ่ายไอที ฝ่ายกฎหมาย/DPO และฝ่ายสื่อสารองค์กร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ประเภทเอกสาร</w:t>
            </w:r>
          </w:p>
        </w:tc>
        <w:tc>
          <w:tcPr>
            <w:tcW w:type="dxa" w:w="4320"/>
          </w:tcPr>
          <w:p>
            <w:r>
              <w:t>ประกาศธนาคารแห่งประเทศไทย (1 ใน 4 ฉบับของชุดกำกับดูแลเครื่อง WSM)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เลขที่</w:t>
            </w:r>
          </w:p>
        </w:tc>
        <w:tc>
          <w:tcPr>
            <w:tcW w:type="dxa" w:w="4320"/>
          </w:tcPr>
          <w:p>
            <w:r>
              <w:t>ที่ 45/2569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ราชกิจจานุเบกษา</w:t>
            </w:r>
          </w:p>
        </w:tc>
        <w:tc>
          <w:tcPr>
            <w:tcW w:type="dxa" w:w="4320"/>
          </w:tcPr>
          <w:p>
            <w:r>
              <w:t>เล่ม 143 ตอนพิเศษ 244 ง ลงวันที่ 7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ตั้งแต่วันถัดจากวันประกาศในราชกิจจานุเบกษา (ตามหนังสือเวียน: ประมาณ 8 ตุลาคม 2569)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หนังสือนำส่ง</w:t>
            </w:r>
          </w:p>
        </w:tc>
        <w:tc>
          <w:tcPr>
            <w:tcW w:type="dxa" w:w="4320"/>
          </w:tcPr>
          <w:p>
            <w:r>
              <w:t>ธปท.ว. 6355/2569 ลงวันที่ 8 ตุลาคม 2569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ประกาศที่เกี่ยวข้อง</w:t>
            </w:r>
          </w:p>
        </w:tc>
        <w:tc>
          <w:tcPr>
            <w:tcW w:type="dxa" w:w="4320"/>
          </w:tcPr>
          <w:p>
            <w:r>
              <w:t>ประกาศกระทรวงการคลัง เรื่อง การกำหนดบริการการชำระเงินภายใต้การกำกับ (ฉบับที่ 2) ราชกิจจาฯ เล่ม 143 ตอนพิเศษ 226 ง ลงวันที่ 16 กันยายน 2569 (กำหนดให้บริการเครื่อง WSM ต้องขออนุญาต)</w:t>
            </w:r>
          </w:p>
        </w:tc>
      </w:tr>
      <w:tr>
        <w:tc>
          <w:tcPr>
            <w:tcW w:type="dxa" w:w="4320"/>
            <w:shd w:val="clear" w:color="auto" w:fill="FFF5EB"/>
          </w:tcPr>
          <w:p>
            <w:r>
              <w:rPr>
                <w:b/>
              </w:rPr>
              <w:t>แหล่งที่พบ</w:t>
            </w:r>
          </w:p>
        </w:tc>
        <w:tc>
          <w:tcPr>
            <w:tcW w:type="dxa" w:w="4320"/>
          </w:tcPr>
          <w:p>
            <w:r>
              <w:t>ธปท. (FIPCS) หนังสือเวียนลงวันที่ 8 ตุลาคม 2569</w:t>
            </w:r>
          </w:p>
        </w:tc>
      </w:tr>
    </w:tbl>
    <w:p/>
    <w:p>
      <w:r>
        <w:rPr>
          <w:b/>
        </w:rPr>
        <w:t xml:space="preserve">ขอบเขตการบังคับใช้: </w:t>
      </w:r>
      <w:r>
        <w:t>ผู้ประสงค์จะประกอบธุรกิจให้บริการเครื่อง WSM ซึ่งเป็นนิติบุคคลอื่นที่ไม่ใช่ธนาคารพาณิชย์หรือสถาบันการเงินเฉพาะกิจ (ธนาคารและสถาบันการเงินเฉพาะกิจยังอยู่ภายใต้ขอบเขตที่ได้รับอนุญาตเดิม)</w:t>
      </w:r>
    </w:p>
    <w:p>
      <w:pPr>
        <w:pStyle w:val="Heading1"/>
      </w:pPr>
      <w:r>
        <w:t>2. วัตถุประสงค์และเหตุผลความจำเป็น</w:t>
      </w:r>
    </w:p>
    <w:p>
      <w:r>
        <w:t>เพิ่มประสิทธิภาพการบริหารจัดการเงินสดของประเทศผ่านการใช้โครงสร้างพื้นฐานร่วมกัน (เครื่อง WSM หรือตู้เอทีเอ็มสีขาวที่ใช้ได้กับหลายธนาคาร) และสนับสนุนการเข้าถึงบริการเงินสดของประชาชน โดยเฉพาะพื้นที่ห่างไกล</w:t>
      </w:r>
    </w:p>
    <w:p>
      <w:r>
        <w:t>ประกาศฉบับนี้กำหนดคุณสมบัติ ขั้นตอนประเมินความพร้อม และวิธียื่นขออนุญาตของผู้ที่ต้องการให้บริการเครื่อง WSM ซึ่งกลายเป็นบริการการชำระเงินภายใต้การกำกับตามประกาศกระทรวงการคลัง (ฉบับที่ 2)</w:t>
      </w:r>
    </w:p>
    <w:p>
      <w:pPr>
        <w:pStyle w:val="Heading1"/>
      </w:pPr>
      <w:r>
        <w:t>3. ตารางเปรียบเทียบเชิงลึก (กฎเกณฑ์เดิม vs กฎเกณฑ์ใหม่)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ประเด็น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เดิม</w:t>
            </w:r>
          </w:p>
        </w:tc>
        <w:tc>
          <w:tcPr>
            <w:tcW w:type="dxa" w:w="2880"/>
            <w:shd w:val="clear" w:color="auto" w:fill="0B2545"/>
          </w:tcPr>
          <w:p>
            <w:r>
              <w:rPr>
                <w:b/>
                <w:color w:val="FFFFFF"/>
              </w:rPr>
              <w:t>ใหม่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สถานะของบริการ</w:t>
            </w:r>
          </w:p>
        </w:tc>
        <w:tc>
          <w:tcPr>
            <w:tcW w:type="dxa" w:w="2880"/>
          </w:tcPr>
          <w:p>
            <w:r>
              <w:t>ไม่มีใบอนุญาตเฉพาะสำหรับผู้ให้บริการเครื่อง WSM</w:t>
            </w:r>
          </w:p>
        </w:tc>
        <w:tc>
          <w:tcPr>
            <w:tcW w:type="dxa" w:w="2880"/>
          </w:tcPr>
          <w:p>
            <w:r>
              <w:t>เป็นบริการการชำระเงินภายใต้การกำกับ ต้องได้รับใบอนุญาตจากรัฐมนตรีว่าการกระทรวงการคลังตามคำแนะนำของ ธปท.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คุณสมบัติผู้ขอ</w:t>
            </w:r>
          </w:p>
        </w:tc>
        <w:tc>
          <w:tcPr>
            <w:tcW w:type="dxa" w:w="2880"/>
          </w:tcPr>
          <w:p>
            <w:r>
              <w:t>ยังไม่มีเกณฑ์</w:t>
            </w:r>
          </w:p>
        </w:tc>
        <w:tc>
          <w:tcPr>
            <w:tcW w:type="dxa" w:w="2880"/>
          </w:tcPr>
          <w:p>
            <w:r>
              <w:t>บริษัทจำกัด/มหาชนจำกัดในไทย หรือสถาบันการเงิน/รัฐวิสาหกิจ ทุนชำระแล้วไม่ต่ำกว่า 100 ล้านบาท ฐานะการเงินมั่นคง และประสบการณ์ End-to-End Operation เครื่องอิเล็กทรอนิกส์ไม่น้อยกว่า 10 ปี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ผู้บริหาร</w:t>
            </w:r>
          </w:p>
        </w:tc>
        <w:tc>
          <w:tcPr>
            <w:tcW w:type="dxa" w:w="2880"/>
          </w:tcPr>
          <w:p>
            <w:r>
              <w:t>ยังไม่มีเกณฑ์</w:t>
            </w:r>
          </w:p>
        </w:tc>
        <w:tc>
          <w:tcPr>
            <w:tcW w:type="dxa" w:w="2880"/>
          </w:tcPr>
          <w:p>
            <w:r>
              <w:t>กรรมการหรือผู้มีอำนาจจัดการอย่างน้อย 1 คนมีความเชี่ยวชาญด้านเครื่องอิเล็กทรอนิกส์หรือ IT ไม่น้อยกว่า 10 ปี และกรรมการสัญชาติไทยอย่างน้อย 1 คนทำงานและติดต่อได้ในประเทศไทย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ขั้นตอนก่อนยื่น</w:t>
            </w:r>
          </w:p>
        </w:tc>
        <w:tc>
          <w:tcPr>
            <w:tcW w:type="dxa" w:w="2880"/>
          </w:tcPr>
          <w:p>
            <w:r>
              <w:t>ไม่มี</w:t>
            </w:r>
          </w:p>
        </w:tc>
        <w:tc>
          <w:tcPr>
            <w:tcW w:type="dxa" w:w="2880"/>
          </w:tcPr>
          <w:p>
            <w:r>
              <w:t>แจ้งความประสงค์ต่อ ธปท. &gt; ประเมินความพร้อม &gt; หารือกับธนาคารพาณิชย์/สถาบันการเงินเฉพาะกิจ &gt; ส่งแผนบริหารจัดการเครื่อง WSM ภายใน 180 วัน (ขยายได้เป็นรายกรณี) &gt; หารือแผนก่อนยื่น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ระยะเวลาพิจารณา</w:t>
            </w:r>
          </w:p>
        </w:tc>
        <w:tc>
          <w:tcPr>
            <w:tcW w:type="dxa" w:w="2880"/>
          </w:tcPr>
          <w:p>
            <w:r>
              <w:t>ไม่มี</w:t>
            </w:r>
          </w:p>
        </w:tc>
        <w:tc>
          <w:tcPr>
            <w:tcW w:type="dxa" w:w="2880"/>
          </w:tcPr>
          <w:p>
            <w:r>
              <w:t>ธปท. พิจารณาภายใน 60 วันทำการนับแต่เอกสารครบถ้วน แล้วเสนอรัฐมนตรีออกใบอนุญาต</w:t>
            </w:r>
          </w:p>
        </w:tc>
      </w:tr>
      <w:tr>
        <w:tc>
          <w:tcPr>
            <w:tcW w:type="dxa" w:w="2880"/>
            <w:shd w:val="clear" w:color="auto" w:fill="F8F9FA"/>
          </w:tcPr>
          <w:p>
            <w:r>
              <w:t>ใบแทนใบอนุญาต</w:t>
            </w:r>
          </w:p>
        </w:tc>
        <w:tc>
          <w:tcPr>
            <w:tcW w:type="dxa" w:w="2880"/>
          </w:tcPr>
          <w:p>
            <w:r>
              <w:t>ไม่มี</w:t>
            </w:r>
          </w:p>
        </w:tc>
        <w:tc>
          <w:tcPr>
            <w:tcW w:type="dxa" w:w="2880"/>
          </w:tcPr>
          <w:p>
            <w:r>
              <w:t>ยื่นภายใน 30 วันนับแต่ทราบการสูญหาย ถูกทำลาย หรือชำรุด ธปท. ออกใบแทนภายใน 45 วันทำการ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เกณฑ์คุณสมบัติด้านทุน ฐานะการเงิน ประวัติ คดีฟอกเงิน ประสบการณ์ และผู้บริหาร</w:t>
      </w:r>
    </w:p>
    <w:p>
      <w:pPr>
        <w:pStyle w:val="ListBullet"/>
      </w:pPr>
      <w:r>
        <w:t>ขั้นตอนประเมินความพร้อมเบื้องต้นและการหารือกับธนาคารก่อนยื่นขอ รวมแนวทางคำนวณค่าธรรมเนียมระหว่างสถาบัน (Interchange Fee) ที่ต้องต่ำกว่าอัตราทั่วไป</w:t>
      </w:r>
    </w:p>
    <w:p>
      <w:pPr>
        <w:pStyle w:val="ListBullet"/>
      </w:pPr>
      <w:r>
        <w:t>เอกสารแนบ: แผนบริหารจัดการเครื่อง WSM (การวางเครื่อง ค่าธรรมเนียม การบริหารเงินสดรวมการขนส่งและแผนฉุกเฉิน บริการเพิ่มเติม)</w:t>
      </w:r>
    </w:p>
    <w:p>
      <w:pPr>
        <w:pStyle w:val="ListBullet"/>
      </w:pPr>
      <w:r>
        <w:t>เอกสารคำขอ: งบการเงิน 3 ปี แผนธุรกิจ 5 ปี การเชื่อมต่อระบบโอนเงินรายย่อย Host System การรับประกันความพร้อมให้บริการไม่ต่ำกว่าร้อยละ 95 ของจำนวนเครื่อง Outsourcing AML/CFT การคุ้มครองผู้ใช้บริการ BIA/BCM และการบริหารความเสี่ยง</w:t>
      </w:r>
    </w:p>
    <w:p>
      <w:pPr>
        <w:pStyle w:val="ListBullet"/>
      </w:pPr>
      <w:r>
        <w:t>ธปท. มีอำนาจสั่งแก้ไข ระงับการดำเนินงานชั่วคราว หรือเสนอเพิกถอนใบอนุญาต หากพบข้อมูลไม่ตรงความจริงหรือไม่ปฏิบัติตามเงื่อนไข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ไม่ปรากฏการยกเลิกประกาศฉบับเดิมในข้อมูลที่เข้าถึงได้ (เป็นกรอบใหม่ของบริการที่เพิ่งถูกกำหนดให้ต้องขออนุญาต)</w:t>
      </w:r>
    </w:p>
    <w:p>
      <w:pPr>
        <w:pStyle w:val="ListBullet"/>
      </w:pPr>
      <w:r>
        <w:t>ข้อยกเว้น: สถาบันการเงินและหน่วยงานบางประเภทได้รับยกเว้นบางข้อ เช่น ทุนจดทะเบียน ฐานะการเงิน และสัญชาติกรรมการ</w:t>
      </w:r>
    </w:p>
    <w:p>
      <w:r>
        <w:rPr>
          <w:b/>
        </w:rPr>
        <w:t>บทกำหนดโทษและบทเฉพาะกาล</w:t>
      </w:r>
    </w:p>
    <w:p>
      <w:r>
        <w:t>ประกาศฉบับนี้เป็นหลักเกณฑ์การขออนุญาต ไม่ได้กำหนดโทษปรับโดยตรง แต่การประกอบธุรกิจโดยไม่ได้รับใบอนุญาตอาจมีโทษตามกฎหมายว่าด้วยระบบการชำระเงิน (ให้ตรวจบทกำหนดโทษในกฎหมายแม่เพิ่มเติม) และ ธปท. มีอำนาจสั่งระงับหรือเสนอเพิกถอนใบอนุญาตหากไม่ปฏิบัติตามเงื่อนไข</w:t>
      </w:r>
    </w:p>
    <w:p>
      <w:r>
        <w:t>มีกรอบเวลาสำคัญ: ส่งแผนบริหารจัดการเครื่อง WSM ภายใน 180 วันนับแต่ได้รับแจ้งจาก ธปท. (หากไม่ส่งแผน จะยื่นขออนุญาตไม่ได้) และ ธปท. พิจารณาคำขอภายใน 60 วันทำการ</w:t>
      </w:r>
    </w:p>
    <w:p>
      <w:r>
        <w:t>หมายเหตุ: ข้อความข้างต้นสรุปจากเอกสารที่ ธปท. เผยแพร่และเข้าถึงได้ในรอบนี้ ไม่ใช่คำแนะนำทางกฎหมาย ควรตรวจฉบับเต็มในราชกิจจานุเบกษาก่อนนำไปปฏิบัติ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rPr>
          <w:b/>
        </w:rPr>
        <w:t xml:space="preserve">พ.ร.บ.ระบบการชำระเงิน พ.ศ. 2560: </w:t>
      </w:r>
      <w:r>
        <w:t>เป็นกฎหมายแม่ที่กำหนดให้บริการการชำระเงินภายใต้การกำกับต้องได้รับใบอนุญาต</w:t>
      </w:r>
    </w:p>
    <w:p>
      <w:pPr>
        <w:pStyle w:val="ListBullet"/>
      </w:pPr>
      <w:r>
        <w:rPr>
          <w:b/>
        </w:rPr>
        <w:t xml:space="preserve">ประกาศกระทรวงการคลัง (ฉบับที่ 2): </w:t>
      </w:r>
      <w:r>
        <w:t>กำหนดให้บริการเครื่อง WSM เป็นบริการการชำระเงินภายใต้การกำกับ</w:t>
      </w:r>
    </w:p>
    <w:p>
      <w:pPr>
        <w:pStyle w:val="ListBullet"/>
      </w:pPr>
      <w:r>
        <w:rPr>
          <w:b/>
        </w:rPr>
        <w:t xml:space="preserve">กฎหมายป้องกันและปราบปรามการฟอกเงิน (AML/CFT): </w:t>
      </w:r>
      <w:r>
        <w:t>ผู้ขอต้องแสดงระบบ AML/CFT และไม่เคยมีคำพิพากษาถึงที่สุดว่าฟอกเงินหรือสนับสนุนทางการเงินแก่การก่อการร้าย</w:t>
      </w:r>
    </w:p>
    <w:p>
      <w:pPr>
        <w:pStyle w:val="ListBullet"/>
      </w:pPr>
      <w:r>
        <w:rPr>
          <w:b/>
        </w:rPr>
        <w:t xml:space="preserve">พ.ร.บ.คุ้มครองข้อมูลส่วนบุคคล พ.ศ. 2562 (PDPA): </w:t>
      </w:r>
      <w:r>
        <w:t>เครื่อง WSM ประมวลผลข้อมูลบัตรและธุรกรรมของผู้ใช้ ต้องมีมาตรการคุ้มครองตามกฎหมาย</w:t>
      </w:r>
    </w:p>
    <w:p>
      <w:pPr>
        <w:pStyle w:val="ListBullet"/>
      </w:pPr>
      <w:r>
        <w:rPr>
          <w:b/>
        </w:rPr>
        <w:t xml:space="preserve">ประมวลกฎหมายแพ่งและพาณิชย์ / พ.ร.บ.บริษัทมหาชนจำกัด: </w:t>
      </w:r>
      <w:r>
        <w:t>เกณฑ์รูปแบบนิติบุคคล ทุนจดทะเบียน และการอนุมัติของคณะกรรมการ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หน้าที่ใหม่ของภาคธุรกิจและบริษัทเทคโนโลยี:</w:t>
      </w:r>
    </w:p>
    <w:p>
      <w:pPr>
        <w:pStyle w:val="ListBullet"/>
      </w:pPr>
      <w:r>
        <w:t>ผู้ให้บริการตู้ ATM/ตู้เงินสดและบริษัทเทคโนโลยีการเงิน: ต้องประเมินว่าเข้าเกณฑ์ทุน 100 ล้านบาทและประสบการณ์ 10 ปีหรือไม่ ก่อนแจ้งความประสงค์</w:t>
      </w:r>
    </w:p>
    <w:p>
      <w:pPr>
        <w:pStyle w:val="ListBullet"/>
      </w:pPr>
      <w:r>
        <w:t>ธนาคารพาณิชย์และสถาบันการเงินเฉพาะกิจ: ต้องเข้าร่วมหารือและแจ้งผลความสนใจใช้บริการเครื่อง WSM ต่อ ธปท.</w:t>
      </w:r>
    </w:p>
    <w:p>
      <w:pPr>
        <w:pStyle w:val="ListBullet"/>
      </w:pPr>
      <w:r>
        <w:t>ทีมไอที: ต้องออกแบบ Host System การเชื่อมต่อระบบโอนเงินรายย่อย ความพร้อมให้บริการไม่ต่ำกว่าร้อยละ 95 และแผน BIA/BCM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ประชาชนมีโอกาสเข้าถึงบริการเงินสดได้สะดวกขึ้น โดยเฉพาะพื้นที่ห่างไกล และใช้เครื่องร่วมกันได้หลายธนาคาร</w:t>
      </w:r>
    </w:p>
    <w:p>
      <w:pPr>
        <w:pStyle w:val="ListBullet"/>
      </w:pPr>
      <w:r>
        <w:t>ผู้ใช้บริการได้รับความคุ้มครองผ่านการอนุญาตและการกำกับของ ธปท.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ประเมินคุณสมบัติตามข้อ 4.2.1 (ทุน ประสบการณ์ ผู้บริหาร) และจัดเตรียมหลักฐานประสบการณ์ 10 ปี</w:t>
      </w:r>
    </w:p>
    <w:p>
      <w:pPr>
        <w:pStyle w:val="ListNumber"/>
      </w:pPr>
      <w:r>
        <w:t>จัดทำเอกสารแนบ 1 แจ้งความประสงค์ต่อ ธปท. พร้อมแนวคำนวณ Interchange Fee</w:t>
      </w:r>
    </w:p>
    <w:p>
      <w:pPr>
        <w:pStyle w:val="ListNumber"/>
      </w:pPr>
      <w:r>
        <w:t>เตรียมแผนบริหารจัดการเครื่อง WSM (เอกสารแนบ 2) ให้ทันภายใน 180 วัน</w:t>
      </w:r>
    </w:p>
    <w:p>
      <w:pPr>
        <w:pStyle w:val="ListNumber"/>
      </w:pPr>
      <w:r>
        <w:t>ประสานธนาคารพาณิชย์/สถาบันการเงินเฉพาะกิจเพื่อหารือและรวบรวมรายชื่อธนาคารที่สนใจ</w:t>
      </w:r>
    </w:p>
    <w:p>
      <w:pPr>
        <w:pStyle w:val="ListNumber"/>
      </w:pPr>
      <w:r>
        <w:t>ออกแบบสถาปัตยกรรมระบบ Host System การเชื่อมต่อ และมาตรการความพร้อมให้บริการไม่ต่ำกว่าร้อยละ 95</w:t>
      </w:r>
    </w:p>
    <w:p>
      <w:pPr>
        <w:pStyle w:val="ListNumber"/>
      </w:pPr>
      <w:r>
        <w:t>อ่านประกาศ ธปท. ที่ 46/2569 และ 47/2569 ควบคู่กัน เพราะกำหนดหน้าที่หลังได้รับอนุญาต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