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2026-10-07</w:t>
      </w:r>
    </w:p>
    <w:p>
      <w:r>
        <w:t>แหล่งอ้างอิง: https://www.bot.or.th/content/dam/bot/fipcs/documents/FPG/2569/ThaiPDF/25690200.pdf</w:t>
      </w:r>
    </w:p>
    <w:p/>
    <w:p>
      <w:pPr>
        <w:pStyle w:val="Title"/>
      </w:pPr>
      <w:r>
        <w:t>ประกาศธนาคารแห่งประเทศไทย ที่ 46/2569 เรื่อง หลักเกณฑ์ในการกำกับดูแลการประกอบธุรกิจให้บริการเครื่อง White-label Smart Machine (WSM)</w:t>
      </w:r>
    </w:p>
    <w:p>
      <w:r>
        <w:t>สรุปและเปรียบเทียบสาระสำคัญของประกาศ ธปท. ที่ 46/2569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ประเภทเอกสาร</w:t>
            </w:r>
          </w:p>
        </w:tc>
        <w:tc>
          <w:tcPr>
            <w:tcW w:type="dxa" w:w="4320"/>
          </w:tcPr>
          <w:p>
            <w:r>
              <w:t>ประกาศธนาคารแห่งประเทศไทย (1 ใน 4 ฉบับของชุดกำกับดูแลเครื่อง WSM)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เลขที่</w:t>
            </w:r>
          </w:p>
        </w:tc>
        <w:tc>
          <w:tcPr>
            <w:tcW w:type="dxa" w:w="4320"/>
          </w:tcPr>
          <w:p>
            <w:r>
              <w:t>ที่ 46/2569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ราชกิจจานุเบกษา</w:t>
            </w:r>
          </w:p>
        </w:tc>
        <w:tc>
          <w:tcPr>
            <w:tcW w:type="dxa" w:w="4320"/>
          </w:tcPr>
          <w:p>
            <w:r>
              <w:t>เล่ม 143 ตอนพิเศษ 244 ง ลงวันที่ 7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ตั้งแต่วันถัดจากวันประกาศในราชกิจจานุเบกษา (ตามหนังสือเวียน: ประมาณ 8 ตุลาคม 2569)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หนังสือนำส่ง</w:t>
            </w:r>
          </w:p>
        </w:tc>
        <w:tc>
          <w:tcPr>
            <w:tcW w:type="dxa" w:w="4320"/>
          </w:tcPr>
          <w:p>
            <w:r>
              <w:t>ธปท.ว. 6355/2569 ลงวันที่ 8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ข้อจำกัดของข้อมูล</w:t>
            </w:r>
          </w:p>
        </w:tc>
        <w:tc>
          <w:tcPr>
            <w:tcW w:type="dxa" w:w="4320"/>
          </w:tcPr>
          <w:p>
            <w:r>
              <w:t>เข้าถึงได้เฉพาะระดับหัวข้อจากหนังสือเวียน ข้อความเต็มของประกาศฉบับนี้ยังไม่ได้ตรวจ รายละเอียดรายข้อต้องอ่านจากต้นฉบับ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แหล่งที่พบ</w:t>
            </w:r>
          </w:p>
        </w:tc>
        <w:tc>
          <w:tcPr>
            <w:tcW w:type="dxa" w:w="4320"/>
          </w:tcPr>
          <w:p>
            <w:r>
              <w:t>ธปท. (FIPCS) หนังสือเวียนลงวันที่ 8 ตุลาคม 2569</w:t>
            </w:r>
          </w:p>
        </w:tc>
      </w:tr>
    </w:tbl>
    <w:p/>
    <w:p>
      <w:r>
        <w:rPr>
          <w:b/>
        </w:rPr>
        <w:t xml:space="preserve">ขอบเขตการบังคับใช้: </w:t>
      </w:r>
      <w:r>
        <w:t>ผู้ประกอบธุรกิจให้บริการเครื่อง WSM ที่ได้รับใบอนุญาตตามประกาศ ธปท. ที่ 45/2569</w:t>
      </w:r>
    </w:p>
    <w:p>
      <w:pPr>
        <w:pStyle w:val="Heading1"/>
      </w:pPr>
      <w:r>
        <w:t>2. วัตถุประสงค์และเหตุผลความจำเป็น</w:t>
      </w:r>
    </w:p>
    <w:p>
      <w:r>
        <w:t>กำหนดหลักเกณฑ์การกำกับดูแลผู้ที่ได้รับอนุญาตให้ประกอบธุรกิจให้บริการเครื่อง WSM หลังได้รับใบอนุญาต เพื่อให้ระบบเงินสดที่ใช้โครงสร้างพื้นฐานร่วมกันมีเสถียรภาพ น่าเชื่อถือ และคุ้มครองผู้ใช้บริการ</w:t>
      </w:r>
    </w:p>
    <w:p>
      <w:r>
        <w:t>ตามหนังสือเวียนของ ธปท. ประกาศฉบับนี้กำหนดหน้าที่ของผู้ประกอบธุรกิจ 4 ด้าน ได้แก่ ฐานะทางการเงิน ธรรมาภิบาล การบริหารความเสี่ยงและความปลอดภัย และการคุ้มครองผู้ใช้บริการ</w:t>
      </w:r>
    </w:p>
    <w:p>
      <w:pPr>
        <w:pStyle w:val="Heading1"/>
      </w:pPr>
      <w:r>
        <w:t>3. ตารางเปรียบเทียบเชิงลึก (กฎเกณฑ์เดิม vs กฎเกณฑ์ใหม่)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ประเด็น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เดิม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ใหม่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ด้านฐานะทางการเงิน</w:t>
            </w:r>
          </w:p>
        </w:tc>
        <w:tc>
          <w:tcPr>
            <w:tcW w:type="dxa" w:w="2880"/>
          </w:tcPr>
          <w:p>
            <w:r>
              <w:t>ยังไม่มีเกณฑ์สำหรับธุรกิจนี้</w:t>
            </w:r>
          </w:p>
        </w:tc>
        <w:tc>
          <w:tcPr>
            <w:tcW w:type="dxa" w:w="2880"/>
          </w:tcPr>
          <w:p>
            <w:r>
              <w:t>ต้องดำรงฐานะทางการเงินตามหลักเกณฑ์ (รายละเอียดตัวเลขไม่ปรากฏในข้อมูลที่เข้าถึงได้)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ด้านธรรมาภิบาล</w:t>
            </w:r>
          </w:p>
        </w:tc>
        <w:tc>
          <w:tcPr>
            <w:tcW w:type="dxa" w:w="2880"/>
          </w:tcPr>
          <w:p>
            <w:r>
              <w:t>ยังไม่มีเกณฑ์สำหรับธุรกิจนี้</w:t>
            </w:r>
          </w:p>
        </w:tc>
        <w:tc>
          <w:tcPr>
            <w:tcW w:type="dxa" w:w="2880"/>
          </w:tcPr>
          <w:p>
            <w:r>
              <w:t>ต้องมีโครงสร้างการกำกับดูแลกิจการตามหลักเกณฑ์ (รายละเอียดไม่ปรากฏในข้อมูลที่เข้าถึงได้)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ด้านการบริหารความเสี่ยงและความปลอดภัย</w:t>
            </w:r>
          </w:p>
        </w:tc>
        <w:tc>
          <w:tcPr>
            <w:tcW w:type="dxa" w:w="2880"/>
          </w:tcPr>
          <w:p>
            <w:r>
              <w:t>ยังไม่มีเกณฑ์สำหรับธุรกิจนี้</w:t>
            </w:r>
          </w:p>
        </w:tc>
        <w:tc>
          <w:tcPr>
            <w:tcW w:type="dxa" w:w="2880"/>
          </w:tcPr>
          <w:p>
            <w:r>
              <w:t>ต้องบริหารความเสี่ยงและความปลอดภัยของการให้บริการ (ร่างรับฟังความเห็นของ ธปท. ระบุแนวทางทบทวนกระบวนการบริหารความเสี่ยงอย่างน้อยปีละครั้ง ซึ่งต้องยืนยันกับฉบับจริง)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ด้านการคุ้มครองผู้ใช้บริการ</w:t>
            </w:r>
          </w:p>
        </w:tc>
        <w:tc>
          <w:tcPr>
            <w:tcW w:type="dxa" w:w="2880"/>
          </w:tcPr>
          <w:p>
            <w:r>
              <w:t>ยังไม่มีเกณฑ์สำหรับธุรกิจนี้</w:t>
            </w:r>
          </w:p>
        </w:tc>
        <w:tc>
          <w:tcPr>
            <w:tcW w:type="dxa" w:w="2880"/>
          </w:tcPr>
          <w:p>
            <w:r>
              <w:t>ต้องดูแลผู้ใช้บริการอย่างเป็นธรรม มีช่องทางร้องเรียน และปฏิบัติตามหลักเกณฑ์ Market Conduct (อ้างอิงร่างรับฟังความเห็น ต้องยืนยันกับฉบับจริง)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กรอบกำกับดูแล 4 ด้านสำหรับผู้ให้บริการเครื่อง WSM ที่ได้รับอนุญาต</w:t>
      </w:r>
    </w:p>
    <w:p>
      <w:pPr>
        <w:pStyle w:val="ListBullet"/>
      </w:pPr>
      <w:r>
        <w:t>หน้าที่ต่อเนื่องหลังได้รับใบอนุญาต แทนที่จะตรวจเฉพาะตอนขออนุญาต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ไม่ปรากฏการยกเลิกประกาศฉบับเดิมในข้อมูลที่เข้าถึงได้</w:t>
      </w:r>
    </w:p>
    <w:p>
      <w:r>
        <w:rPr>
          <w:b/>
        </w:rPr>
        <w:t>บทกำหนดโทษและบทเฉพาะกาล</w:t>
      </w:r>
    </w:p>
    <w:p>
      <w:r>
        <w:t>ข้อมูลที่เข้าถึงได้ไม่ระบุบทกำหนดโทษของประกาศฉบับนี้ ผู้ประกอบธุรกิจที่ไม่ปฏิบัติตามอาจถูก ธปท. สั่งแก้ไข ระงับ หรือเสนอเพิกถอนใบอนุญาตตามกลไกในประกาศที่ 45/2569 และกฎหมายว่าด้วยระบบการชำระเงิน (ต้องตรวจข้อความเต็ม)</w:t>
      </w:r>
    </w:p>
    <w:p>
      <w:r>
        <w:t>ไม่ปรากฏบทเฉพาะกาลในข้อมูลที่เข้าถึงได้ ต้องตรวจข้อความเต็มของประกาศ</w:t>
      </w:r>
    </w:p>
    <w:p>
      <w:r>
        <w:t>หมายเหตุ: ข้อความข้างต้นสรุปจากเอกสารที่ ธปท. เผยแพร่และเข้าถึงได้ในรอบนี้ ไม่ใช่คำแนะนำทางกฎหมาย ควรตรวจฉบับเต็มในราชกิจจานุเบกษาก่อนนำไปปฏิบัติ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rPr>
          <w:b/>
        </w:rPr>
        <w:t xml:space="preserve">พ.ร.บ.ระบบการชำระเงิน พ.ศ. 2560: </w:t>
      </w:r>
      <w:r>
        <w:t>เป็นกฎหมายแม่ของการกำกับดูแลผู้ให้บริการ</w:t>
      </w:r>
    </w:p>
    <w:p>
      <w:pPr>
        <w:pStyle w:val="ListBullet"/>
      </w:pPr>
      <w:r>
        <w:rPr>
          <w:b/>
        </w:rPr>
        <w:t xml:space="preserve">ประกาศ ธปท. ที่ 45/2569 และ 47/2569: </w:t>
      </w:r>
      <w:r>
        <w:t>เป็นชุดเดียวกัน: 45 คือการขออนุญาต 46 คือการกำกับดูแล 47 คือความมั่นคงปลอดภัย</w:t>
      </w:r>
    </w:p>
    <w:p>
      <w:pPr>
        <w:pStyle w:val="ListBullet"/>
      </w:pPr>
      <w:r>
        <w:rPr>
          <w:b/>
        </w:rPr>
        <w:t xml:space="preserve">ประกาศ ธปท. ว่าด้วย Market Conduct: </w:t>
      </w:r>
      <w:r>
        <w:t>เกี่ยวกับการดูแลลูกค้าอย่างเป็นธรรมและการจัดการข้อร้องเรียน</w:t>
      </w:r>
    </w:p>
    <w:p>
      <w:pPr>
        <w:pStyle w:val="ListBullet"/>
      </w:pPr>
      <w:r>
        <w:rPr>
          <w:b/>
        </w:rPr>
        <w:t xml:space="preserve">พ.ร.บ.คุ้มครองข้อมูลส่วนบุคคล พ.ศ. 2562 (PDPA): </w:t>
      </w:r>
      <w:r>
        <w:t>ข้อมูลธุรกรรมและข้อมูลบัตรที่ผ่านเครื่อง WSM ต้องได้รับการคุ้มครอง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หน้าที่ใหม่ของภาคธุรกิจและบริษัทเทคโนโลยี:</w:t>
      </w:r>
    </w:p>
    <w:p>
      <w:pPr>
        <w:pStyle w:val="ListBullet"/>
      </w:pPr>
      <w:r>
        <w:t>ผู้ให้บริการเครื่อง WSM: ต้องจัดทำนโยบายและกลไกกำกับตนเองครบ 4 ด้านหลังได้รับอนุญาต</w:t>
      </w:r>
    </w:p>
    <w:p>
      <w:pPr>
        <w:pStyle w:val="ListBullet"/>
      </w:pPr>
      <w:r>
        <w:t>ธนาคารพาณิชย์/สถาบันการเงินเฉพาะกิจที่ว่าจ้างผู้ให้บริการ: ต้องกำกับให้ผู้ให้บริการปฏิบัติตามหลักเกณฑ์เดียวกับที่ธนาคารให้บริการเอง (ตามร่างรับฟังความเห็น ต้องยืนยันกับฉบับจริง)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ผู้ใช้เครื่อง WSM ได้รับความคุ้มครองและมีช่องทางร้องเรียนที่ชัดเจน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ขอฉบับเต็มของประกาศ ธปท. ที่ 46/2569 จากราชกิจจานุเบกษาหรือเว็บไซต์ ธปท. แล้วทำตารางเทียบข้อกำหนดทั้ง 4 ด้าน</w:t>
      </w:r>
    </w:p>
    <w:p>
      <w:pPr>
        <w:pStyle w:val="ListNumber"/>
      </w:pPr>
      <w:r>
        <w:t>ให้ฝ่ายการเงินกำหนดตัวชี้วัดฐานะทางการเงินที่ต้องรายงาน</w:t>
      </w:r>
    </w:p>
    <w:p>
      <w:pPr>
        <w:pStyle w:val="ListNumber"/>
      </w:pPr>
      <w:r>
        <w:t>ให้ฝ่ายกฎหมายและกำกับดูแลทบทวนโครงสร้างธรรมาภิบาลและหน้าที่คณะกรรมการ</w:t>
      </w:r>
    </w:p>
    <w:p>
      <w:pPr>
        <w:pStyle w:val="ListNumber"/>
      </w:pPr>
      <w:r>
        <w:t>ให้ฝ่ายไอทีและความเสี่ยงเชื่อมโยงกรอบความเสี่ยงกับประกาศ 47/2569</w:t>
      </w:r>
    </w:p>
    <w:p>
      <w:pPr>
        <w:pStyle w:val="ListNumber"/>
      </w:pPr>
      <w:r>
        <w:t>จัดทำนโยบายคุ้มครองผู้ใช้บริการและช่องทางร้องเรียน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