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2026-10-07</w:t>
      </w:r>
    </w:p>
    <w:p>
      <w:r>
        <w:t>แหล่งอ้างอิง: https://www.bot.or.th/content/dam/bot/fipcs/documents/FPG/2569/ThaiPDF/25690200.pdf</w:t>
      </w:r>
    </w:p>
    <w:p/>
    <w:p>
      <w:pPr>
        <w:pStyle w:val="Title"/>
      </w:pPr>
      <w:r>
        <w:t>ประกาศธนาคารแห่งประเทศไทย ที่ 47/2569 เรื่อง หลักเกณฑ์การรักษาความมั่นคงปลอดภัยของการให้บริการเครื่อง White-label Smart Machine (WSM)</w:t>
      </w:r>
    </w:p>
    <w:p>
      <w:r>
        <w:t>สรุปและเปรียบเทียบสาระสำคัญของประกาศ ธปท. ที่ 47/2569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ประเภทเอกสาร</w:t>
            </w:r>
          </w:p>
        </w:tc>
        <w:tc>
          <w:tcPr>
            <w:tcW w:type="dxa" w:w="4320"/>
          </w:tcPr>
          <w:p>
            <w:r>
              <w:t>ประกาศธนาคารแห่งประเทศไทย (1 ใน 4 ฉบับของชุดกำกับดูแลเครื่อง WSM)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เลขที่</w:t>
            </w:r>
          </w:p>
        </w:tc>
        <w:tc>
          <w:tcPr>
            <w:tcW w:type="dxa" w:w="4320"/>
          </w:tcPr>
          <w:p>
            <w:r>
              <w:t>ที่ 47/2569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ตอนพิเศษ 244 ง ลงวันที่ 7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ตั้งแต่วันถัดจากวันประกาศในราชกิจจานุเบกษา (ตามหนังสือเวียน: ประมาณ 8 ตุลาคม 2569)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หนังสือนำส่ง</w:t>
            </w:r>
          </w:p>
        </w:tc>
        <w:tc>
          <w:tcPr>
            <w:tcW w:type="dxa" w:w="4320"/>
          </w:tcPr>
          <w:p>
            <w:r>
              <w:t>ธปท.ว. 6355/2569 ลงวันที่ 8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ข้อจำกัดของข้อมูล</w:t>
            </w:r>
          </w:p>
        </w:tc>
        <w:tc>
          <w:tcPr>
            <w:tcW w:type="dxa" w:w="4320"/>
          </w:tcPr>
          <w:p>
            <w:r>
              <w:t>เข้าถึงได้เฉพาะระดับหัวข้อจากหนังสือเวียน ข้อความเต็มและมาตรฐานเทคนิครายข้อของประกาศฉบับนี้ยังไม่ได้ตรวจ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แหล่งที่พบ</w:t>
            </w:r>
          </w:p>
        </w:tc>
        <w:tc>
          <w:tcPr>
            <w:tcW w:type="dxa" w:w="4320"/>
          </w:tcPr>
          <w:p>
            <w:r>
              <w:t>ธปท. (FIPCS) หนังสือเวียนลงวันที่ 8 ตุลาคม 2569</w:t>
            </w:r>
          </w:p>
        </w:tc>
      </w:tr>
    </w:tbl>
    <w:p/>
    <w:p>
      <w:r>
        <w:rPr>
          <w:b/>
        </w:rPr>
        <w:t xml:space="preserve">ขอบเขตการบังคับใช้: </w:t>
      </w:r>
      <w:r>
        <w:t>ผู้ประกอบธุรกิจให้บริการเครื่อง WSM ที่ได้รับอนุญาตตามประกาศ ธปท. ที่ 45/2569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กำหนดมาตรฐานขั้นต่ำด้านความมั่นคงปลอดภัยของการให้บริการเครื่อง WSM และการรับมือความเสี่ยงจากภัยคุกคามทางไซเบอร์ เพื่อสร้างความเชื่อมั่นให้ประชาชนในการใช้บริการ</w:t>
      </w:r>
    </w:p>
    <w:p>
      <w:r>
        <w:t>เครื่อง WSM เป็นเครื่องอิเล็กทรอนิกส์ที่เชื่อมต่อระบบโอนเงินรายย่อยและ Host System จึงเป็นโครงสร้างพื้นฐานที่มีความเสี่ยงทั้งทางกายภาพ (การโจมตีตู้ การติดตั้งอุปกรณ์ดูดข้อมูลบัตร) และทางไซเบอร์</w:t>
      </w:r>
    </w:p>
    <w:p>
      <w:pPr>
        <w:pStyle w:val="Heading1"/>
      </w:pPr>
      <w:r>
        <w:t>3. ตารางเปรียบเทียบเชิงลึก (กฎเกณฑ์เดิม vs กฎเกณฑ์ใหม่)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ประเด็น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เดิม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ใหม่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มาตรฐานความปลอดภัยของเครื่อง WSM</w:t>
            </w:r>
          </w:p>
        </w:tc>
        <w:tc>
          <w:tcPr>
            <w:tcW w:type="dxa" w:w="2880"/>
          </w:tcPr>
          <w:p>
            <w:r>
              <w:t>ยังไม่มีมาตรฐานเฉพาะสำหรับบริการนี้</w:t>
            </w:r>
          </w:p>
        </w:tc>
        <w:tc>
          <w:tcPr>
            <w:tcW w:type="dxa" w:w="2880"/>
          </w:tcPr>
          <w:p>
            <w:r>
              <w:t>ต้องปฏิบัติตามมาตรฐานขั้นต่ำด้านความมั่นคงปลอดภัยของการให้บริการ (รายละเอียดทางเทคนิครายข้อไม่ปรากฏในข้อมูลที่เข้าถึงได้)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การรับมือภัยคุกคามไซเบอร์</w:t>
            </w:r>
          </w:p>
        </w:tc>
        <w:tc>
          <w:tcPr>
            <w:tcW w:type="dxa" w:w="2880"/>
          </w:tcPr>
          <w:p>
            <w:r>
              <w:t>ยังไม่มีเกณฑ์เฉพาะ</w:t>
            </w:r>
          </w:p>
        </w:tc>
        <w:tc>
          <w:tcPr>
            <w:tcW w:type="dxa" w:w="2880"/>
          </w:tcPr>
          <w:p>
            <w:r>
              <w:t>ต้องมีมาตรการรับมือความเสี่ยงจากภัยคุกคามทางไซเบอร์ตามที่ประกาศกำหนด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ความพร้อมให้บริการ</w:t>
            </w:r>
          </w:p>
        </w:tc>
        <w:tc>
          <w:tcPr>
            <w:tcW w:type="dxa" w:w="2880"/>
          </w:tcPr>
          <w:p>
            <w:r>
              <w:t>ยังไม่มีเกณฑ์</w:t>
            </w:r>
          </w:p>
        </w:tc>
        <w:tc>
          <w:tcPr>
            <w:tcW w:type="dxa" w:w="2880"/>
          </w:tcPr>
          <w:p>
            <w:r>
              <w:t>ตามประกาศ 45/2569 ต้องรับประกันความพร้อมให้บริการไม่ต่ำกว่าร้อยละ 95 ของจำนวนเครื่อง และมีแผน BIA/BCM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มาตรฐานขั้นต่ำด้านความมั่นคงปลอดภัยของการให้บริการเครื่อง WSM</w:t>
      </w:r>
    </w:p>
    <w:p>
      <w:pPr>
        <w:pStyle w:val="ListBullet"/>
      </w:pPr>
      <w:r>
        <w:t>หน้าที่รับมือความเสี่ยงจากภัยคุกคามทางไซเบอร์ของผู้ให้บริการ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ไม่ปรากฏการยกเลิกประกาศฉบับเดิมในข้อมูลที่เข้าถึงได้</w:t>
      </w:r>
    </w:p>
    <w:p>
      <w:r>
        <w:rPr>
          <w:b/>
        </w:rPr>
        <w:t>บทกำหนดโทษและบทเฉพาะกาล</w:t>
      </w:r>
    </w:p>
    <w:p>
      <w:r>
        <w:t>ข้อมูลที่เข้าถึงได้ไม่ระบุบทกำหนดโทษของประกาศฉบับนี้ ผู้ที่ไม่ปฏิบัติตามอาจถูก ธปท. สั่งแก้ไข ระงับ หรือเสนอเพิกถอนใบอนุญาตตามกลไกของชุดประกาศ (ต้องตรวจข้อความเต็ม)</w:t>
      </w:r>
    </w:p>
    <w:p>
      <w:r>
        <w:t>ไม่ปรากฏบทเฉพาะกาลในข้อมูลที่เข้าถึงได้ ต้องตรวจข้อความเต็มของประกาศ</w:t>
      </w:r>
    </w:p>
    <w:p>
      <w:r>
        <w:t>หมายเหตุ: ข้อความข้างต้นสรุปจากเอกสารที่ ธปท. เผยแพร่และเข้าถึงได้ในรอบนี้ ไม่ใช่คำแนะนำทางกฎหมาย ควรตรวจฉบับเต็มในราชกิจจานุเบกษาก่อนนำไปปฏิบัติ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rPr>
          <w:b/>
        </w:rPr>
        <w:t xml:space="preserve">พ.ร.บ.การรักษาความมั่นคงปลอดภัยไซเบอร์ พ.ศ. 2562: </w:t>
      </w:r>
      <w:r>
        <w:t>หากเครื่องหรือระบบเข้าข่ายโครงสร้างพื้นฐานสำคัญทางสารสนเทศ ต้องปฏิบัติตามกฎหมายไซเบอร์ควบคู่กัน (ต้องประเมินเป็นรายกรณี)</w:t>
      </w:r>
    </w:p>
    <w:p>
      <w:pPr>
        <w:pStyle w:val="ListBullet"/>
      </w:pPr>
      <w:r>
        <w:rPr>
          <w:b/>
        </w:rPr>
        <w:t xml:space="preserve">พ.ร.บ.ระบบการชำระเงิน พ.ศ. 2560: </w:t>
      </w:r>
      <w:r>
        <w:t>เป็นกฎหมายแม่ของประกาศ</w:t>
      </w:r>
    </w:p>
    <w:p>
      <w:pPr>
        <w:pStyle w:val="ListBullet"/>
      </w:pPr>
      <w:r>
        <w:rPr>
          <w:b/>
        </w:rPr>
        <w:t xml:space="preserve">PDPA พ.ศ. 2562: </w:t>
      </w:r>
      <w:r>
        <w:t>ข้อมูลบัตรและธุรกรรมที่ผ่านเครื่องเป็นข้อมูลส่วนบุคคล ต้องมีมาตรการรักษาความปลอดภัยที่เหมาะสม</w:t>
      </w:r>
    </w:p>
    <w:p>
      <w:pPr>
        <w:pStyle w:val="ListBullet"/>
      </w:pPr>
      <w:r>
        <w:rPr>
          <w:b/>
        </w:rPr>
        <w:t xml:space="preserve">ประกาศ ธปท. ที่ 45/2569 และ 46/2569: </w:t>
      </w:r>
      <w:r>
        <w:t>ใช้ร่วมกันเป็นชุด 3 ฉบับ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หน้าที่ใหม่ของภาคธุรกิจและบริษัทเทคโนโลยี:</w:t>
      </w:r>
    </w:p>
    <w:p>
      <w:pPr>
        <w:pStyle w:val="ListBullet"/>
      </w:pPr>
      <w:r>
        <w:t>ผู้ให้บริการเครื่อง WSM: ต้องลงทุนด้านความปลอดภัยทางกายภาพและไซเบอร์ของเครื่อง เครือข่าย และ Host System</w:t>
      </w:r>
    </w:p>
    <w:p>
      <w:pPr>
        <w:pStyle w:val="ListBullet"/>
      </w:pPr>
      <w:r>
        <w:t>ทีม CISO/ไอที: ต้องแปลงมาตรฐานเป็นข้อกำหนดทางเทคนิคและตัวชี้วัด เมื่อได้ข้อความเต็มของประกาศ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ผู้ใช้เครื่องได้รับการปกป้องจากการถูกขโมยข้อมูลบัตรและการโจมตีตู้ ซึ่งเป็นเป้าหมายสำคัญของมาตรฐานนี้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ขอฉบับเต็มของประกาศ ธปท. ที่ 47/2569 และทำตารางเทียบมาตรฐานรายข้อกับระบบจริง</w:t>
      </w:r>
    </w:p>
    <w:p>
      <w:pPr>
        <w:pStyle w:val="ListNumber"/>
      </w:pPr>
      <w:r>
        <w:t>ประเมินช่องว่าง (gap assessment) ด้านความปลอดภัยของเครื่อง เครือข่าย และ Host System</w:t>
      </w:r>
    </w:p>
    <w:p>
      <w:pPr>
        <w:pStyle w:val="ListNumber"/>
      </w:pPr>
      <w:r>
        <w:t>จัดทำแผนรับมือเหตุไซเบอร์และแผน BIA/BCM ให้สอดคล้องกับความพร้อมให้บริการร้อยละ 95</w:t>
      </w:r>
    </w:p>
    <w:p>
      <w:pPr>
        <w:pStyle w:val="ListNumber"/>
      </w:pPr>
      <w:r>
        <w:t>ตรวจสอบว่าระบบเข้าข่ายโครงสร้างพื้นฐานสำคัญทางสารสนเทศตามกฎหมายไซเบอร์หรือไม่</w:t>
      </w:r>
    </w:p>
    <w:p>
      <w:pPr>
        <w:pStyle w:val="ListNumber"/>
      </w:pPr>
      <w:r>
        <w:t>กำหนดช่องทางรายงานเหตุผิดปกติต่อ ธปท.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