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2026-10-09</w:t>
      </w:r>
    </w:p>
    <w:p>
      <w:r>
        <w:t>แหล่งอ้างอิง: https://www.bot.or.th/content/dam/bot/fipcs/documents/FPG/2569/ThaiPDF/25690202.pdf</w:t>
      </w:r>
    </w:p>
    <w:p/>
    <w:p>
      <w:pPr>
        <w:pStyle w:val="Title"/>
      </w:pPr>
      <w:r>
        <w:t>ประกาศธนาคารแห่งประเทศไทย ที่ 50/2569 เรื่อง หลักเกณฑ์การบริหารจัดการภัยทุจริตดิจิทัล (Digital Fraud Management) ของสถาบันการเงินเฉพาะกิจ</w:t>
      </w:r>
    </w:p>
    <w:p>
      <w:r>
        <w:t>สรุปและเปรียบเทียบสาระสำคัญของประกาศ ธปท. ที่ 50/2569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ประเภทเอกสาร</w:t>
            </w:r>
          </w:p>
        </w:tc>
        <w:tc>
          <w:tcPr>
            <w:tcW w:type="dxa" w:w="4320"/>
          </w:tcPr>
          <w:p>
            <w:r>
              <w:t>ประกาศธนาคารแห่งประเทศไทย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เลขที่ / ลงวันที่</w:t>
            </w:r>
          </w:p>
        </w:tc>
        <w:tc>
          <w:tcPr>
            <w:tcW w:type="dxa" w:w="4320"/>
          </w:tcPr>
          <w:p>
            <w:r>
              <w:t>ที่ 50/2569 ลงวันที่ 7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ตอนพิเศษ 246 ง ลงวันที่ 9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 พฤศจิกายน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หนังสือนำส่ง</w:t>
            </w:r>
          </w:p>
        </w:tc>
        <w:tc>
          <w:tcPr>
            <w:tcW w:type="dxa" w:w="4320"/>
          </w:tcPr>
          <w:p>
            <w:r>
              <w:t>ธปท.ว. 6410/2569 ลงวันที่ 12 ตุลาคม 2569 ถึงผู้จัดการสถาบันการเงินเฉพาะกิจทุกแห่ง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อำนาจตามกฎหมาย</w:t>
            </w:r>
          </w:p>
        </w:tc>
        <w:tc>
          <w:tcPr>
            <w:tcW w:type="dxa" w:w="4320"/>
          </w:tcPr>
          <w:p>
            <w:r>
              <w:t>มาตรา 120/1 แห่ง พ.ร.บ.ธุรกิจสถาบันการเงิน พ.ศ. 2551 (แก้ไขเพิ่มเติม) โดยได้รับความเห็นชอบจากรัฐมนตรีว่าการกระทรวงการคลัง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แหล่งที่พบ</w:t>
            </w:r>
          </w:p>
        </w:tc>
        <w:tc>
          <w:tcPr>
            <w:tcW w:type="dxa" w:w="4320"/>
          </w:tcPr>
          <w:p>
            <w:r>
              <w:t>ธปท. (FIPCS) หนังสือเวียนลงวันที่ 12 ตุลาคม 2569 และประกาศ ธปท. ลงวันที่ 7 ตุลาคม 2569</w:t>
            </w:r>
          </w:p>
        </w:tc>
      </w:tr>
    </w:tbl>
    <w:p/>
    <w:p>
      <w:r>
        <w:rPr>
          <w:b/>
        </w:rPr>
        <w:t xml:space="preserve">ขอบเขตการบังคับใช้: </w:t>
      </w:r>
      <w:r>
        <w:t>สถาบันการเงินเฉพาะกิจ 6 แห่ง ได้แก่ ธนาคารออมสิน ธ.ก.ส. ธนาคารอาคารสงเคราะห์ ธนาคารอิสลามแห่งประเทศไทย ธพว. และ EXIM BANK (ไม่รวมธุรกรรมผ่านบัตรเครดิต เดบิต และเอทีเอ็ม)</w:t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t>ให้สถาบันการเงินเฉพาะกิจบริหารภัยทุจริตดิจิทัลครบทุกขั้นตอนตั้งแต่ต้นจนจบ เพื่อป้องกันและลดความเสียหายต่อประชาชน และรักษาความเชื่อมั่นในระบบสถาบันการเงินและระบบการชำระเงิน</w:t>
      </w:r>
    </w:p>
    <w:p>
      <w:r>
        <w:t>ประกาศนี้ยกระดับแนวนโยบายบริหารจัดการภัยทุจริตจากการทำธุรกรรมทางการเงินปี 2566 ให้เป็นหลักเกณฑ์ที่มุ่งเฉพาะสถาบันการเงินเฉพาะกิจ ครอบคลุมการรู้จักลูกค้า การตรวจจับบัญชีม้า การระงับธุรกรรม และการดูแลลูกค้าที่ได้รับผลกระทบ</w:t>
      </w:r>
    </w:p>
    <w:p>
      <w:pPr>
        <w:pStyle w:val="Heading1"/>
      </w:pPr>
      <w:r>
        <w:t>3. ตารางเปรียบเทียบเชิงลึก (กฎเกณฑ์เดิม vs กฎเกณฑ์ใหม่)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ประเด็น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เดิม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ใหม่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ฐานเอกสาร</w:t>
            </w:r>
          </w:p>
        </w:tc>
        <w:tc>
          <w:tcPr>
            <w:tcW w:type="dxa" w:w="2880"/>
          </w:tcPr>
          <w:p>
            <w:r>
              <w:t>แนวนโยบาย ธปท. 29 มี.ค. 2566 และหนังสือเวียน ธปท.ฝตท.(01) ว. 384/2567 ลงวันที่ 31 พ.ค. 2567</w:t>
            </w:r>
          </w:p>
        </w:tc>
        <w:tc>
          <w:tcPr>
            <w:tcW w:type="dxa" w:w="2880"/>
          </w:tcPr>
          <w:p>
            <w:r>
              <w:t>ประกาศ ธปท. 50/2569 ออกตามมาตรา 120/1 มีผล 1 พ.ย. 2569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การกำกับดูแล</w:t>
            </w:r>
          </w:p>
        </w:tc>
        <w:tc>
          <w:tcPr>
            <w:tcW w:type="dxa" w:w="2880"/>
          </w:tcPr>
          <w:p>
            <w:r>
              <w:t>แนวทางระดับนโยบาย</w:t>
            </w:r>
          </w:p>
        </w:tc>
        <w:tc>
          <w:tcPr>
            <w:tcW w:type="dxa" w:w="2880"/>
          </w:tcPr>
          <w:p>
            <w:r>
              <w:t>คณะกรรมการและผู้บริหารสูงสุดต้องกำกับ มีนโยบายเป็นลายลักษณ์อักษร มีผู้รับผิดชอบ ตัวชี้วัด และรายงานคณะกรรมการอย่างสม่ำเสมอ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การรู้จักลูกค้าและบัญชีม้า</w:t>
            </w:r>
          </w:p>
        </w:tc>
        <w:tc>
          <w:tcPr>
            <w:tcW w:type="dxa" w:w="2880"/>
          </w:tcPr>
          <w:p>
            <w:r>
              <w:t>เน้นจัดการบัญชีเสี่ยงสูงตามหนังสือเวียน</w:t>
            </w:r>
          </w:p>
        </w:tc>
        <w:tc>
          <w:tcPr>
            <w:tcW w:type="dxa" w:w="2880"/>
          </w:tcPr>
          <w:p>
            <w:r>
              <w:t>ต้อง KYC/CDD ตลอดความสัมพันธ์ จัดกลุ่มลูกค้าตามความเสี่ยง และทำ EDD เมื่อพบความเสี่ยงบัญชีม้า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การตรวจจับ</w:t>
            </w:r>
          </w:p>
        </w:tc>
        <w:tc>
          <w:tcPr>
            <w:tcW w:type="dxa" w:w="2880"/>
          </w:tcPr>
          <w:p>
            <w:r>
              <w:t>ไม่ระบุรายละเอียดระดับประกาศ</w:t>
            </w:r>
          </w:p>
        </w:tc>
        <w:tc>
          <w:tcPr>
            <w:tcW w:type="dxa" w:w="2880"/>
          </w:tcPr>
          <w:p>
            <w:r>
              <w:t>ต้องตรวจจับเชิงรุกทั้งผู้ที่อาจถูกหลอกและผู้ที่อาจเป็นบัญชีม้า ใช้ข้อมูล CFR และทบทวนเงื่อนไขสม่ำเสมอ โดยใช้ data analytics หรือ AI เมื่อเหมาะสม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การจัดการและเยียวยา</w:t>
            </w:r>
          </w:p>
        </w:tc>
        <w:tc>
          <w:tcPr>
            <w:tcW w:type="dxa" w:w="2880"/>
          </w:tcPr>
          <w:p>
            <w:r>
              <w:t>ไม่ระบุรายละเอียดระดับประกาศ</w:t>
            </w:r>
          </w:p>
        </w:tc>
        <w:tc>
          <w:tcPr>
            <w:tcW w:type="dxa" w:w="2880"/>
          </w:tcPr>
          <w:p>
            <w:r>
              <w:t>ต้องแจ้งเตือน หน่วง หรือระงับธุรกรรม จำกัดและระงับบัญชีม้า มี hotline 24 ชั่วโมง ปลดระงับโดยเร็วหากกระทบผู้ไม่เกี่ยวข้อง และเยียวยาเมื่อความเสียหายเกิดจากความบกพร่องของสถาบัน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การรายงานและเปิดเผย</w:t>
            </w:r>
          </w:p>
        </w:tc>
        <w:tc>
          <w:tcPr>
            <w:tcW w:type="dxa" w:w="2880"/>
          </w:tcPr>
          <w:p>
            <w:r>
              <w:t>ไม่ระบุ</w:t>
            </w:r>
          </w:p>
        </w:tc>
        <w:tc>
          <w:tcPr>
            <w:tcW w:type="dxa" w:w="2880"/>
          </w:tcPr>
          <w:p>
            <w:r>
              <w:t>ต้องส่งรายงานต่อ ธปท. ตามรูปแบบที่กำหนด และเปิดเผยข้อมูลหากกรรมการหรือผู้มีอำนาจจัดการถูกเปรียบเทียบปรับหรือกล่าวโทษจากการไม่กำกับให้ปฏิบัติตามประกาศ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การบริหารภัยทุจริตดิจิทัลแบบบูรณาการตั้งแต่ป้องกัน ตรวจจับ จัดการ จนถึงดูแลลูกค้า</w:t>
      </w:r>
    </w:p>
    <w:p>
      <w:pPr>
        <w:pStyle w:val="ListBullet"/>
      </w:pPr>
      <w:r>
        <w:t>hotline หรือช่องทางแจ้งเหตุตลอด 24 ชั่วโมง และระยะเวลาดูแลลูกค้าที่ชัดเจน</w:t>
      </w:r>
    </w:p>
    <w:p>
      <w:pPr>
        <w:pStyle w:val="ListBullet"/>
      </w:pPr>
      <w:r>
        <w:t>การแลกเปลี่ยนข้อมูลภัยทุจริตกับสถาบันการเงินอื่นและหน่วยงานที่เกี่ยวข้อง และสนับสนุนข้อมูลแก่พนักงานสอบสวน</w:t>
      </w:r>
    </w:p>
    <w:p>
      <w:pPr>
        <w:pStyle w:val="ListBullet"/>
      </w:pPr>
      <w:r>
        <w:t>การสร้างความตระหนักรู้เชิงรุกและการประเมินความตระหนักรู้ของลูกค้า (awareness test) เพื่อใช้กำหนดระดับความเสี่ยงหรือค่าเริ่มต้นของวงเงินรายวัน</w:t>
      </w:r>
    </w:p>
    <w:p>
      <w:pPr>
        <w:pStyle w:val="ListBullet"/>
      </w:pPr>
      <w:r>
        <w:t>การเปิดเผยข้อมูลกรณีผู้บริหารถูกเปรียบเทียบปรับหรือกล่าวโทษ (ข้อ 5.3.6)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ยกเลิกแนวนโยบาย ธปท. เรื่อง การบริหารจัดการภัยทุจริตจากการทำธุรกรรมทางการเงิน ลงวันที่ 29 มีนาคม 2566 เฉพาะส่วนที่เกี่ยวกับสถาบันการเงินเฉพาะกิจ</w:t>
      </w:r>
    </w:p>
    <w:p>
      <w:pPr>
        <w:pStyle w:val="ListBullet"/>
      </w:pPr>
      <w:r>
        <w:t>ยกเลิกหนังสือเวียน ธปท.ฝตท.(01) ว. 384/2567 ลงวันที่ 31 พฤษภาคม 2567 เรื่อง การเพิ่มความเข้มงวดในการจัดการบัญชีที่มีความเสี่ยงสูงหรือมีพฤติกรรมผิดปกติ</w:t>
      </w:r>
    </w:p>
    <w:p>
      <w:pPr>
        <w:pStyle w:val="ListBullet"/>
      </w:pPr>
      <w:r>
        <w:t>ผ่อนปรน: กรณีลูกค้าหรือธุรกรรมความเสี่ยงต่ำ ให้นำหลักเกณฑ์ไปปรับใช้ตามความเหมาะสม</w:t>
      </w:r>
    </w:p>
    <w:p>
      <w:r>
        <w:rPr>
          <w:b/>
        </w:rPr>
        <w:t>บทกำหนดโทษและบทเฉพาะกาล</w:t>
      </w:r>
    </w:p>
    <w:p>
      <w:r>
        <w:t>ประกาศไม่ได้ระบุโทษปรับหรือโทษอาญาโดยตรง แต่หากกรรมการ ผู้จัดการ หรือผู้มีอำนาจจัดการถูกเปรียบเทียบปรับหรือกล่าวโทษจากการไม่กำกับให้ปฏิบัติตามประกาศ สถาบันต้องเปิดเผยข้อมูลตามหลักเกณฑ์ Market Conduct โดยอนุโลม (ธปท. อาจสั่งไม่ให้เปิดเผยหากกระทบความปลอดภัยของประชาชนหรือประสิทธิผลของการบริหารภัยทุจริต)</w:t>
      </w:r>
    </w:p>
    <w:p>
      <w:r>
        <w:t>ประกาศไม่กำหนดระยะเวลาเปลี่ยนผ่าน มีผลบังคับใช้ตั้งแต่ 1 พฤศจิกายน 2569</w:t>
      </w:r>
    </w:p>
    <w:p>
      <w:r>
        <w:t>หมายเหตุ: ข้อความข้างต้นสรุปจากเอกสารที่ ธปท. เผยแพร่และเข้าถึงได้ในรอบนี้ ไม่ใช่คำแนะนำทางกฎหมาย ควรตรวจฉบับเต็มในราชกิจจานุเบกษาก่อนนำไปปฏิบัติ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rPr>
          <w:b/>
        </w:rPr>
        <w:t xml:space="preserve">พ.ร.บ.ธุรกิจสถาบันการเงิน พ.ศ. 2551: </w:t>
      </w:r>
      <w:r>
        <w:t>เป็นกฎหมายแม่ (มาตรา 120/1)</w:t>
      </w:r>
    </w:p>
    <w:p>
      <w:pPr>
        <w:pStyle w:val="ListBullet"/>
      </w:pPr>
      <w:r>
        <w:rPr>
          <w:b/>
        </w:rPr>
        <w:t xml:space="preserve">กฎหมายป้องกันและปราบปรามอาชญากรรมทางเทคโนโลยี: </w:t>
      </w:r>
      <w:r>
        <w:t>สถาบันต้องมีกลไกแลกเปลี่ยนข้อมูลและส่งต่อข้อมูลภัยทุจริตอย่างรวดเร็ว และรองรับการระงับบัญชีม้า</w:t>
      </w:r>
    </w:p>
    <w:p>
      <w:pPr>
        <w:pStyle w:val="ListBullet"/>
      </w:pPr>
      <w:r>
        <w:rPr>
          <w:b/>
        </w:rPr>
        <w:t xml:space="preserve">กฎหมายป้องกันและปราบปรามการฟอกเงิน: </w:t>
      </w:r>
      <w:r>
        <w:t>KYC/CDD/EDD ต้องเป็นไปตามกฎหมายฟอกเงินและประกาศ ธปท. ที่เกี่ยวข้อง</w:t>
      </w:r>
    </w:p>
    <w:p>
      <w:pPr>
        <w:pStyle w:val="ListBullet"/>
      </w:pPr>
      <w:r>
        <w:rPr>
          <w:b/>
        </w:rPr>
        <w:t xml:space="preserve">พ.ร.บ.คุ้มครองข้อมูลส่วนบุคคล พ.ศ. 2562 (PDPA): </w:t>
      </w:r>
      <w:r>
        <w:t>การใช้ข้อมูลลูกค้าเพื่อตรวจจับและการแลกเปลี่ยนข้อมูลภัยทุจริตต้องมีฐานทางกฎหมายและมาตรการคุ้มครอง</w:t>
      </w:r>
    </w:p>
    <w:p>
      <w:pPr>
        <w:pStyle w:val="ListBullet"/>
      </w:pPr>
      <w:r>
        <w:rPr>
          <w:b/>
        </w:rPr>
        <w:t xml:space="preserve">ประกาศ ธปท. ที่ 44/2569 (Merchant Fraud Management): </w:t>
      </w:r>
      <w:r>
        <w:t>ประกาศพี่น้องที่ใช้โครงสร้างหลักเกณฑ์คล้ายกัน แต่ใช้กับผู้ให้บริการรับชำระเงินและร้านค้า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หน้าที่ใหม่ของภาคธุรกิจและบริษัทเทคโนโลยี:</w:t>
      </w:r>
    </w:p>
    <w:p>
      <w:pPr>
        <w:pStyle w:val="ListBullet"/>
      </w:pPr>
      <w:r>
        <w:t>สถาบันการเงินเฉพาะกิจ 6 แห่ง: ต้องปรับนโยบาย ระบบตรวจจับ และกระบวนการดูแลลูกค้าให้ทันวันที่ 1 พฤศจิกายน 2569 โดยไม่มีช่วงเปลี่ยนผ่าน</w:t>
      </w:r>
    </w:p>
    <w:p>
      <w:pPr>
        <w:pStyle w:val="ListBullet"/>
      </w:pPr>
      <w:r>
        <w:t>ทีมไอทีและความปลอดภัย: ต้องเชื่อม CFR และสร้างเงื่อนไขตรวจจับด้วย data analytics หรือ AI พร้อมระบบหน่วงหรือระงับธุรกรรมและ hotline 24 ชั่วโมง</w:t>
      </w:r>
    </w:p>
    <w:p>
      <w:pPr>
        <w:pStyle w:val="ListBullet"/>
      </w:pPr>
      <w:r>
        <w:t>ฝ่ายกฎหมายและกำกับการปฏิบัติตามกฎเกณฑ์: ต้องเตรียมกลไกรายงาน ธปท. และเปิดเผยข้อมูลหากผู้บริหารถูกปรับหรือกล่าวโทษ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ลูกค้าธนาคารรัฐที่ถูกหลอกลวงจะได้รับการแจ้งเตือน หน่วงหรือระงับธุรกรรม และช่องทางแจ้งเหตุตลอด 24 ชั่วโมง</w:t>
      </w:r>
    </w:p>
    <w:p>
      <w:pPr>
        <w:pStyle w:val="ListBullet"/>
      </w:pPr>
      <w:r>
        <w:t>ลูกค้าที่ไม่เกี่ยวข้องกับบัญชีม้าแต่ถูกระงับ มีสิทธิได้รับการปลดระงับโดยเร็วและผู้ประสานงานที่ชัดเจน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ทำ gap analysis เทียบนโยบายภัยทุจริตปัจจุบันกับข้อ 5.3 ให้เสร็จก่อน 1 พฤศจิกายน 2569</w:t>
      </w:r>
    </w:p>
    <w:p>
      <w:pPr>
        <w:pStyle w:val="ListNumber"/>
      </w:pPr>
      <w:r>
        <w:t>เสนอคณะกรรมการอนุมัตินโยบายใหม่ และแต่งตั้งผู้รับผิดชอบระดับสูง</w:t>
      </w:r>
    </w:p>
    <w:p>
      <w:pPr>
        <w:pStyle w:val="ListNumber"/>
      </w:pPr>
      <w:r>
        <w:t>ตรวจสอบระบบตรวจจับ ระงับ หน่วง และวงเงิน รวมถึงการเชื่อมต่อ CFR</w:t>
      </w:r>
    </w:p>
    <w:p>
      <w:pPr>
        <w:pStyle w:val="ListNumber"/>
      </w:pPr>
      <w:r>
        <w:t>เปิดหรือทบทวน hotline 24 ชั่วโมงและกำหนด SLA การดูแลลูกค้า</w:t>
      </w:r>
    </w:p>
    <w:p>
      <w:pPr>
        <w:pStyle w:val="ListNumber"/>
      </w:pPr>
      <w:r>
        <w:t>เตรียมแบบรายงานต่อ ธปท. และกระบวนการเปิดเผยข้อมูลเมื่อผู้บริหารถูกปรับหรือกล่าวโทษ</w:t>
      </w:r>
    </w:p>
    <w:p>
      <w:pPr>
        <w:pStyle w:val="ListNumber"/>
      </w:pPr>
      <w:r>
        <w:t>ติดตามแนวปฏิบัติขั้นต่ำที่ ธปท. จะกำหนด เพราะการปฏิบัติตามถือว่าเป็นการปฏิบัติตามหลักเกณฑ์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