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40"/>
          <w:szCs w:val="40"/>
        </w:rPr>
        <w:t xml:space="preserve">Acme Corp — HR Policy Handbook</w:t>
      </w:r>
    </w:p>
    <w:p>
      <w:pPr>
        <w:spacing w:after="400"/>
        <w:jc w:val="center"/>
      </w:pPr>
      <w:r>
        <w:rPr>
          <w:i/>
          <w:iCs/>
          <w:color w:val="595959"/>
          <w:sz w:val="22"/>
          <w:szCs w:val="22"/>
        </w:rPr>
        <w:t xml:space="preserve">Effective Date: January 1, 2026</w:t>
      </w:r>
    </w:p>
    <w:p>
      <w:pPr>
        <w:pStyle w:val="Heading1"/>
      </w:pPr>
      <w:r>
        <w:t xml:space="preserve">1. Leave Policy</w:t>
      </w:r>
    </w:p>
    <w:p>
      <w:pPr>
        <w:pStyle w:val="Heading2"/>
      </w:pPr>
      <w:r>
        <w:t xml:space="preserve">1.1 Sick Leave</w:t>
      </w:r>
    </w:p>
    <w:p>
      <w:pPr>
        <w:spacing w:after="200"/>
      </w:pPr>
      <w:r>
        <w:t xml:space="preserve">Employees are entitled to 12 sick leaves per calendar year. Sick leave is credited at the start of each year and cannot be used in advance. Unused sick leave can be carried forward to the next year, up to a maximum of 24 days. A medical certificate from a registered practitioner is required for any sick leave lasting more than 3 consecutive days.</w:t>
      </w:r>
    </w:p>
    <w:p>
      <w:pPr>
        <w:pStyle w:val="Heading2"/>
      </w:pPr>
      <w:r>
        <w:t xml:space="preserve">1.2 Casual Leave</w:t>
      </w:r>
    </w:p>
    <w:p>
      <w:pPr>
        <w:spacing w:after="200"/>
      </w:pPr>
      <w:r>
        <w:t xml:space="preserve">Employees receive 8 casual leaves per calendar year, intended for short personal matters. Casual leave does not carry forward to the next year and lapses on December 31st. Employees must apply for casual leave at least 1 working day in advance, except in genuine emergencies.</w:t>
      </w:r>
    </w:p>
    <w:p>
      <w:pPr>
        <w:pStyle w:val="Heading2"/>
      </w:pPr>
      <w:r>
        <w:t xml:space="preserve">1.3 Earned (Annual) Leave</w:t>
      </w:r>
    </w:p>
    <w:p>
      <w:pPr>
        <w:spacing w:after="200"/>
      </w:pPr>
      <w:r>
        <w:t xml:space="preserve">Employees earn 1.5 days of annual leave for every completed month of service, totaling 18 days per year. Earned leave must be approved by the employee's manager at least 5 working days in advance. A maximum of 45 days of earned leave can be accumulated; any excess is automatically encashed at the end of the financial year.</w:t>
      </w:r>
    </w:p>
    <w:p>
      <w:pPr>
        <w:pStyle w:val="Heading2"/>
      </w:pPr>
      <w:r>
        <w:t xml:space="preserve">1.4 Maternity and Paternity Leave</w:t>
      </w:r>
    </w:p>
    <w:p>
      <w:pPr>
        <w:spacing w:after="200"/>
      </w:pPr>
      <w:r>
        <w:t xml:space="preserve">Eligible employees are entitled to 26 weeks of paid maternity leave. Paternity leave of 2 weeks is granted to employees within 3 months of the child's birth or adoption. Both leave types must be requested with at least 30 days' notice where possible, along with relevant medical documentation.</w:t>
      </w:r>
    </w:p>
    <w:p>
      <w:pPr>
        <w:pStyle w:val="Heading1"/>
      </w:pPr>
      <w:r>
        <w:t xml:space="preserve">2. Attendance and Work Hours</w:t>
      </w:r>
    </w:p>
    <w:p>
      <w:pPr>
        <w:pStyle w:val="Heading2"/>
      </w:pPr>
      <w:r>
        <w:t xml:space="preserve">2.1 Standard Working Hours</w:t>
      </w:r>
    </w:p>
    <w:p>
      <w:pPr>
        <w:spacing w:after="200"/>
      </w:pPr>
      <w:r>
        <w:t xml:space="preserve">Standard working hours are 9:30 AM to 6:30 PM, Monday through Friday, with a 1-hour lunch break. Employees are expected to log a minimum of 8 working hours per day, excluding breaks. A grace period of 15 minutes is permitted for late arrivals, up to 3 times per month.</w:t>
      </w:r>
    </w:p>
    <w:p>
      <w:pPr>
        <w:pStyle w:val="Heading2"/>
      </w:pPr>
      <w:r>
        <w:t xml:space="preserve">2.2 Remote Work</w:t>
      </w:r>
    </w:p>
    <w:p>
      <w:pPr>
        <w:spacing w:after="200"/>
      </w:pPr>
      <w:r>
        <w:t xml:space="preserve">Employees may work remotely up to 2 days per week with prior approval from their manager. Fully remote arrangements require approval from the department head and HR. Remote employees must remain reachable during standard working hours and attend all scheduled virtual meetings.</w:t>
      </w:r>
    </w:p>
    <w:p>
      <w:pPr>
        <w:pStyle w:val="Heading1"/>
      </w:pPr>
      <w:r>
        <w:t xml:space="preserve">3. Code of Conduct</w:t>
      </w:r>
    </w:p>
    <w:p>
      <w:pPr>
        <w:pStyle w:val="Heading2"/>
      </w:pPr>
      <w:r>
        <w:t xml:space="preserve">3.1 Workplace Behavior</w:t>
      </w:r>
    </w:p>
    <w:p>
      <w:pPr>
        <w:spacing w:after="200"/>
      </w:pPr>
      <w:r>
        <w:t xml:space="preserve">All employees are expected to treat colleagues, clients, and partners with respect and professionalism. Harassment, discrimination, or bullying of any kind will not be tolerated and may result in disciplinary action, up to and including termination.</w:t>
      </w:r>
    </w:p>
    <w:p>
      <w:pPr>
        <w:pStyle w:val="Heading2"/>
      </w:pPr>
      <w:r>
        <w:t xml:space="preserve">3.2 Confidentiality</w:t>
      </w:r>
    </w:p>
    <w:p>
      <w:pPr>
        <w:spacing w:after="200"/>
      </w:pPr>
      <w:r>
        <w:t xml:space="preserve">Employees must not disclose confidential company information, client data, or trade secrets to any third party without written authorization. This obligation continues even after the employee leaves the company.</w:t>
      </w:r>
    </w:p>
    <w:p>
      <w:pPr>
        <w:pStyle w:val="Heading2"/>
      </w:pPr>
      <w:r>
        <w:t xml:space="preserve">3.3 Dress Code</w:t>
      </w:r>
    </w:p>
    <w:p>
      <w:pPr>
        <w:spacing w:after="200"/>
      </w:pPr>
      <w:r>
        <w:t xml:space="preserve">The standard dress code is business casual on weekdays. Fridays are designated as casual dress days. Client-facing meetings may require formal business attire at the manager's discretion.</w:t>
      </w:r>
    </w:p>
    <w:p>
      <w:pPr>
        <w:pStyle w:val="Heading1"/>
      </w:pPr>
      <w:r>
        <w:t xml:space="preserve">4. Compensation and Benefits</w:t>
      </w:r>
    </w:p>
    <w:p>
      <w:pPr>
        <w:pStyle w:val="Heading2"/>
      </w:pPr>
      <w:r>
        <w:t xml:space="preserve">4.1 Salary Payment</w:t>
      </w:r>
    </w:p>
    <w:p>
      <w:pPr>
        <w:spacing w:after="200"/>
      </w:pPr>
      <w:r>
        <w:t xml:space="preserve">Salaries are paid monthly, credited to the employee's registered bank account by the last working day of each month. Payslips are made available electronically through the HR portal.</w:t>
      </w:r>
    </w:p>
    <w:p>
      <w:pPr>
        <w:pStyle w:val="Heading2"/>
      </w:pPr>
      <w:r>
        <w:t xml:space="preserve">4.2 Health Insurance</w:t>
      </w:r>
    </w:p>
    <w:p>
      <w:pPr>
        <w:spacing w:after="200"/>
      </w:pPr>
      <w:r>
        <w:t xml:space="preserve">All full-time employees are covered under the company's group health insurance policy from their date of joining. Coverage extends to the employee's spouse and up to 2 dependent children. Insurance cards are issued within 30 days of joining.</w:t>
      </w:r>
    </w:p>
    <w:p>
      <w:pPr>
        <w:pStyle w:val="Heading2"/>
      </w:pPr>
      <w:r>
        <w:t xml:space="preserve">4.3 Performance Bonus</w:t>
      </w:r>
    </w:p>
    <w:p>
      <w:pPr>
        <w:spacing w:after="200"/>
      </w:pPr>
      <w:r>
        <w:t xml:space="preserve">Eligible employees may receive an annual performance bonus based on individual and company performance, typically paid out in April following the annual review cycle. Bonus percentages vary by role level and are determined by the management committee.</w:t>
      </w:r>
    </w:p>
    <w:p>
      <w:pPr>
        <w:pStyle w:val="Heading1"/>
      </w:pPr>
      <w:r>
        <w:t xml:space="preserve">5. Resignation and Termination</w:t>
      </w:r>
    </w:p>
    <w:p>
      <w:pPr>
        <w:pStyle w:val="Heading2"/>
      </w:pPr>
      <w:r>
        <w:t xml:space="preserve">5.1 Notice Period</w:t>
      </w:r>
    </w:p>
    <w:p>
      <w:pPr>
        <w:spacing w:after="200"/>
      </w:pPr>
      <w:r>
        <w:t xml:space="preserve">Employees are required to serve a notice period of 60 days upon resignation. Employees in their probation period are required to serve a notice period of 15 days. The company reserves the right to provide pay in lieu of notice at its discretion.</w:t>
      </w:r>
    </w:p>
    <w:p>
      <w:pPr>
        <w:pStyle w:val="Heading2"/>
      </w:pPr>
      <w:r>
        <w:t xml:space="preserve">5.2 Full and Final Settlement</w:t>
      </w:r>
    </w:p>
    <w:p>
      <w:pPr>
        <w:spacing w:after="200"/>
      </w:pPr>
      <w:r>
        <w:t xml:space="preserve">Full and final settlement, including any pending salary, encashed leave, and reimbursements, will be processed within 45 days of the employee's last working 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2026-06-25T10:50:19.112Z</dcterms:created>
  <dcterms:modified xsi:type="dcterms:W3CDTF">2026-06-25T10:50:19.113Z</dcterms:modified>
</cp:coreProperties>
</file>

<file path=docProps/custom.xml><?xml version="1.0" encoding="utf-8"?>
<Properties xmlns="http://schemas.openxmlformats.org/officeDocument/2006/custom-properties" xmlns:vt="http://schemas.openxmlformats.org/officeDocument/2006/docPropsVTypes"/>
</file>