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2154"/>
          <w:sz w:val="56"/>
        </w:rPr>
        <w:t>METRIC SHIFT</w:t>
        <w:br/>
      </w:r>
      <w:r>
        <w:rPr>
          <w:rFonts w:ascii="Arial" w:hAnsi="Arial"/>
          <w:i/>
          <w:color w:val="1E3A8A"/>
          <w:sz w:val="28"/>
        </w:rPr>
        <w:t>Care Gap Detection &amp; Star Rating Simulator</w:t>
      </w:r>
    </w:p>
    <w:p>
      <w:pPr>
        <w:spacing w:after="400"/>
      </w:pPr>
    </w:p>
    <w:tbl>
      <w:tblPr>
        <w:tblW w:type="auto" w:w="0"/>
        <w:jc w:val="center"/>
        <w:tblLook w:firstColumn="1" w:firstRow="1" w:lastColumn="0" w:lastRow="0" w:noHBand="0" w:noVBand="1" w:val="04A0"/>
      </w:tblPr>
      <w:tblGrid>
        <w:gridCol w:w="4680"/>
        <w:gridCol w:w="4680"/>
      </w:tblGrid>
      <w:tr>
        <w:tc>
          <w:tcPr>
            <w:tcW w:type="dxa" w:w="4680"/>
            <w:shd w:fill="F8FAFC"/>
            <w:tcMar>
              <w:top w:w="80" w:type="dxa"/>
              <w:bottom w:w="80" w:type="dxa"/>
              <w:left w:w="150" w:type="dxa"/>
              <w:right w:w="150" w:type="dxa"/>
            </w:tcMar>
          </w:tcPr>
          <w:p>
            <w:r>
              <w:rPr>
                <w:b/>
                <w:color w:val="0B2154"/>
              </w:rPr>
              <w:t>Project:</w:t>
            </w:r>
          </w:p>
        </w:tc>
        <w:tc>
          <w:tcPr>
            <w:tcW w:type="dxa" w:w="4680"/>
            <w:shd w:fill="F8FAFC"/>
            <w:tcMar>
              <w:top w:w="80" w:type="dxa"/>
              <w:bottom w:w="80" w:type="dxa"/>
              <w:left w:w="150" w:type="dxa"/>
              <w:right w:w="150" w:type="dxa"/>
            </w:tcMar>
          </w:tcPr>
          <w:p>
            <w:r>
              <w:t>Metric Shift Analytics Portal</w:t>
            </w:r>
          </w:p>
        </w:tc>
      </w:tr>
      <w:tr>
        <w:tc>
          <w:tcPr>
            <w:tcW w:type="dxa" w:w="4680"/>
            <w:shd w:fill="F8FAFC"/>
            <w:tcMar>
              <w:top w:w="80" w:type="dxa"/>
              <w:bottom w:w="80" w:type="dxa"/>
              <w:left w:w="150" w:type="dxa"/>
              <w:right w:w="150" w:type="dxa"/>
            </w:tcMar>
          </w:tcPr>
          <w:p>
            <w:r>
              <w:rPr>
                <w:b/>
                <w:color w:val="0B2154"/>
              </w:rPr>
              <w:t>Subject:</w:t>
            </w:r>
          </w:p>
        </w:tc>
        <w:tc>
          <w:tcPr>
            <w:tcW w:type="dxa" w:w="4680"/>
            <w:shd w:fill="F8FAFC"/>
            <w:tcMar>
              <w:top w:w="80" w:type="dxa"/>
              <w:bottom w:w="80" w:type="dxa"/>
              <w:left w:w="150" w:type="dxa"/>
              <w:right w:w="150" w:type="dxa"/>
            </w:tcMar>
          </w:tcPr>
          <w:p>
            <w:r>
              <w:t>Technical Architecture &amp; Tech Stack Rationale Report</w:t>
            </w:r>
          </w:p>
        </w:tc>
      </w:tr>
      <w:tr>
        <w:tc>
          <w:tcPr>
            <w:tcW w:type="dxa" w:w="4680"/>
            <w:shd w:fill="F8FAFC"/>
            <w:tcMar>
              <w:top w:w="80" w:type="dxa"/>
              <w:bottom w:w="80" w:type="dxa"/>
              <w:left w:w="150" w:type="dxa"/>
              <w:right w:w="150" w:type="dxa"/>
            </w:tcMar>
          </w:tcPr>
          <w:p>
            <w:r>
              <w:rPr>
                <w:b/>
                <w:color w:val="0B2154"/>
              </w:rPr>
              <w:t>Date:</w:t>
            </w:r>
          </w:p>
        </w:tc>
        <w:tc>
          <w:tcPr>
            <w:tcW w:type="dxa" w:w="4680"/>
            <w:shd w:fill="F8FAFC"/>
            <w:tcMar>
              <w:top w:w="80" w:type="dxa"/>
              <w:bottom w:w="80" w:type="dxa"/>
              <w:left w:w="150" w:type="dxa"/>
              <w:right w:w="150" w:type="dxa"/>
            </w:tcMar>
          </w:tcPr>
          <w:p>
            <w:r>
              <w:t>August 2026</w:t>
            </w:r>
          </w:p>
        </w:tc>
      </w:tr>
    </w:tbl>
    <w:p>
      <w:pPr>
        <w:spacing w:after="600"/>
      </w:pPr>
    </w:p>
    <w:p>
      <w:pPr>
        <w:spacing w:after="200"/>
      </w:pPr>
      <w:r>
        <w:rPr>
          <w:rFonts w:ascii="Arial" w:hAnsi="Arial"/>
          <w:b/>
          <w:color w:val="0B2154"/>
          <w:sz w:val="32"/>
        </w:rPr>
        <w:t>1. Executive Summary</w:t>
      </w:r>
    </w:p>
    <w:p>
      <w:pPr>
        <w:spacing w:after="200"/>
      </w:pPr>
      <w:r>
        <w:t>Metric Shift is an enterprise-grade Medicare Advantage care gap detection platform and Star Rating simulator. The system digests multi-plan clinical, enrollment, and pharmacy claims datasets, isolates unresolved clinical gaps, predicts member outreach closure probabilities using Machine Learning, and runs Mixed-Integer Linear Programming (MILP) algorithms to optimize patient outreach outreach campaigns under fixed budgetary constraints.</w:t>
      </w:r>
    </w:p>
    <w:p>
      <w:pPr>
        <w:spacing w:after="200"/>
      </w:pPr>
      <w:r>
        <w:rPr>
          <w:rFonts w:ascii="Arial" w:hAnsi="Arial"/>
          <w:b/>
          <w:color w:val="0B2154"/>
          <w:sz w:val="32"/>
        </w:rPr>
        <w:t>2. Component-by-Component Tech Stack Breakdown</w:t>
      </w:r>
    </w:p>
    <w:tbl>
      <w:tblPr>
        <w:tblW w:type="auto" w:w="0"/>
        <w:jc w:val="center"/>
        <w:tblLook w:firstColumn="1" w:firstRow="1" w:lastColumn="0" w:lastRow="0" w:noHBand="0" w:noVBand="1" w:val="04A0"/>
      </w:tblPr>
      <w:tblGrid>
        <w:gridCol w:w="2340"/>
        <w:gridCol w:w="2340"/>
        <w:gridCol w:w="2340"/>
        <w:gridCol w:w="2340"/>
      </w:tblGrid>
      <w:tr>
        <w:tc>
          <w:tcPr>
            <w:tcW w:type="dxa" w:w="2340"/>
            <w:shd w:fill="0B2154"/>
            <w:tcMar>
              <w:top w:w="120" w:type="dxa"/>
              <w:bottom w:w="120" w:type="dxa"/>
              <w:left w:w="150" w:type="dxa"/>
              <w:right w:w="150" w:type="dxa"/>
            </w:tcMar>
          </w:tcPr>
          <w:p>
            <w:r>
              <w:rPr>
                <w:b/>
                <w:color w:val="FFFFFF"/>
                <w:sz w:val="20"/>
              </w:rPr>
              <w:t>Project Component</w:t>
            </w:r>
          </w:p>
        </w:tc>
        <w:tc>
          <w:tcPr>
            <w:tcW w:type="dxa" w:w="2340"/>
            <w:shd w:fill="0B2154"/>
            <w:tcMar>
              <w:top w:w="120" w:type="dxa"/>
              <w:bottom w:w="120" w:type="dxa"/>
              <w:left w:w="150" w:type="dxa"/>
              <w:right w:w="150" w:type="dxa"/>
            </w:tcMar>
          </w:tcPr>
          <w:p>
            <w:r>
              <w:rPr>
                <w:b/>
                <w:color w:val="FFFFFF"/>
                <w:sz w:val="20"/>
              </w:rPr>
              <w:t>Technology / Framework</w:t>
            </w:r>
          </w:p>
        </w:tc>
        <w:tc>
          <w:tcPr>
            <w:tcW w:type="dxa" w:w="2340"/>
            <w:shd w:fill="0B2154"/>
            <w:tcMar>
              <w:top w:w="120" w:type="dxa"/>
              <w:bottom w:w="120" w:type="dxa"/>
              <w:left w:w="150" w:type="dxa"/>
              <w:right w:w="150" w:type="dxa"/>
            </w:tcMar>
          </w:tcPr>
          <w:p>
            <w:r>
              <w:rPr>
                <w:b/>
                <w:color w:val="FFFFFF"/>
                <w:sz w:val="20"/>
              </w:rPr>
              <w:t>Key Libraries</w:t>
            </w:r>
          </w:p>
        </w:tc>
        <w:tc>
          <w:tcPr>
            <w:tcW w:type="dxa" w:w="2340"/>
            <w:shd w:fill="0B2154"/>
            <w:tcMar>
              <w:top w:w="120" w:type="dxa"/>
              <w:bottom w:w="120" w:type="dxa"/>
              <w:left w:w="150" w:type="dxa"/>
              <w:right w:w="150" w:type="dxa"/>
            </w:tcMar>
          </w:tcPr>
          <w:p>
            <w:r>
              <w:rPr>
                <w:b/>
                <w:color w:val="FFFFFF"/>
                <w:sz w:val="20"/>
              </w:rPr>
              <w:t>Core Role &amp; Purpose</w:t>
            </w:r>
          </w:p>
        </w:tc>
      </w:tr>
      <w:tr>
        <w:tc>
          <w:tcPr>
            <w:tcW w:type="dxa" w:w="2340"/>
            <w:tcMar>
              <w:top w:w="100" w:type="dxa"/>
              <w:bottom w:w="100" w:type="dxa"/>
              <w:left w:w="120" w:type="dxa"/>
              <w:right w:w="120" w:type="dxa"/>
            </w:tcMar>
          </w:tcPr>
          <w:p>
            <w:r>
              <w:rPr>
                <w:sz w:val="19"/>
              </w:rPr>
              <w:t>Frontend Web App</w:t>
            </w:r>
          </w:p>
        </w:tc>
        <w:tc>
          <w:tcPr>
            <w:tcW w:type="dxa" w:w="2340"/>
            <w:tcMar>
              <w:top w:w="100" w:type="dxa"/>
              <w:bottom w:w="100" w:type="dxa"/>
              <w:left w:w="120" w:type="dxa"/>
              <w:right w:w="120" w:type="dxa"/>
            </w:tcMar>
          </w:tcPr>
          <w:p>
            <w:r>
              <w:rPr>
                <w:sz w:val="19"/>
              </w:rPr>
              <w:t>React (v19.2)</w:t>
              <w:br/>
              <w:t>TypeScript (v6.0)</w:t>
              <w:br/>
              <w:t>Vite (v8.2)</w:t>
            </w:r>
          </w:p>
        </w:tc>
        <w:tc>
          <w:tcPr>
            <w:tcW w:type="dxa" w:w="2340"/>
            <w:tcMar>
              <w:top w:w="100" w:type="dxa"/>
              <w:bottom w:w="100" w:type="dxa"/>
              <w:left w:w="120" w:type="dxa"/>
              <w:right w:w="120" w:type="dxa"/>
            </w:tcMar>
          </w:tcPr>
          <w:p>
            <w:r>
              <w:rPr>
                <w:sz w:val="19"/>
              </w:rPr>
              <w:t>Recharts (v3.10)</w:t>
              <w:br/>
              <w:t>Axios (v1.19)</w:t>
              <w:br/>
              <w:t>Lucide React (v1.31)</w:t>
            </w:r>
          </w:p>
        </w:tc>
        <w:tc>
          <w:tcPr>
            <w:tcW w:type="dxa" w:w="2340"/>
            <w:tcMar>
              <w:top w:w="100" w:type="dxa"/>
              <w:bottom w:w="100" w:type="dxa"/>
              <w:left w:w="120" w:type="dxa"/>
              <w:right w:w="120" w:type="dxa"/>
            </w:tcMar>
          </w:tcPr>
          <w:p>
            <w:r>
              <w:rPr>
                <w:sz w:val="19"/>
              </w:rPr>
              <w:t>Single Page Application (SPA) dashboard presenting care gap analytics, members list, interactive charts, optimization simulations, and report download triggers.</w:t>
            </w:r>
          </w:p>
        </w:tc>
      </w:tr>
      <w:tr>
        <w:tc>
          <w:tcPr>
            <w:tcW w:type="dxa" w:w="2340"/>
            <w:tcMar>
              <w:top w:w="100" w:type="dxa"/>
              <w:bottom w:w="100" w:type="dxa"/>
              <w:left w:w="120" w:type="dxa"/>
              <w:right w:w="120" w:type="dxa"/>
            </w:tcMar>
          </w:tcPr>
          <w:p>
            <w:r>
              <w:rPr>
                <w:sz w:val="19"/>
              </w:rPr>
              <w:t>Backend Web API</w:t>
            </w:r>
          </w:p>
        </w:tc>
        <w:tc>
          <w:tcPr>
            <w:tcW w:type="dxa" w:w="2340"/>
            <w:tcMar>
              <w:top w:w="100" w:type="dxa"/>
              <w:bottom w:w="100" w:type="dxa"/>
              <w:left w:w="120" w:type="dxa"/>
              <w:right w:w="120" w:type="dxa"/>
            </w:tcMar>
          </w:tcPr>
          <w:p>
            <w:r>
              <w:rPr>
                <w:sz w:val="19"/>
              </w:rPr>
              <w:t>Python (v3.13)</w:t>
              <w:br/>
              <w:t>FastAPI (v0.115)</w:t>
              <w:br/>
              <w:t>Uvicorn</w:t>
            </w:r>
          </w:p>
        </w:tc>
        <w:tc>
          <w:tcPr>
            <w:tcW w:type="dxa" w:w="2340"/>
            <w:tcMar>
              <w:top w:w="100" w:type="dxa"/>
              <w:bottom w:w="100" w:type="dxa"/>
              <w:left w:w="120" w:type="dxa"/>
              <w:right w:w="120" w:type="dxa"/>
            </w:tcMar>
          </w:tcPr>
          <w:p>
            <w:r>
              <w:rPr>
                <w:sz w:val="19"/>
              </w:rPr>
              <w:t>FastAPI web framework</w:t>
              <w:br/>
              <w:t>Pickle</w:t>
            </w:r>
          </w:p>
        </w:tc>
        <w:tc>
          <w:tcPr>
            <w:tcW w:type="dxa" w:w="2340"/>
            <w:tcMar>
              <w:top w:w="100" w:type="dxa"/>
              <w:bottom w:w="100" w:type="dxa"/>
              <w:left w:w="120" w:type="dxa"/>
              <w:right w:w="120" w:type="dxa"/>
            </w:tcMar>
          </w:tcPr>
          <w:p>
            <w:r>
              <w:rPr>
                <w:sz w:val="19"/>
              </w:rPr>
              <w:t>High-performance, asynchronous REST API serving backend computations, file upload handling, pipeline triggers, run state storage, and landscape PDF generation routes.</w:t>
            </w:r>
          </w:p>
        </w:tc>
      </w:tr>
      <w:tr>
        <w:tc>
          <w:tcPr>
            <w:tcW w:type="dxa" w:w="2340"/>
            <w:tcMar>
              <w:top w:w="100" w:type="dxa"/>
              <w:bottom w:w="100" w:type="dxa"/>
              <w:left w:w="120" w:type="dxa"/>
              <w:right w:w="120" w:type="dxa"/>
            </w:tcMar>
          </w:tcPr>
          <w:p>
            <w:r>
              <w:rPr>
                <w:sz w:val="19"/>
              </w:rPr>
              <w:t>Data Processing &amp; Rule Engine</w:t>
            </w:r>
          </w:p>
        </w:tc>
        <w:tc>
          <w:tcPr>
            <w:tcW w:type="dxa" w:w="2340"/>
            <w:tcMar>
              <w:top w:w="100" w:type="dxa"/>
              <w:bottom w:w="100" w:type="dxa"/>
              <w:left w:w="120" w:type="dxa"/>
              <w:right w:w="120" w:type="dxa"/>
            </w:tcMar>
          </w:tcPr>
          <w:p>
            <w:r>
              <w:rPr>
                <w:sz w:val="19"/>
              </w:rPr>
              <w:t>Python (v3.13)</w:t>
            </w:r>
          </w:p>
        </w:tc>
        <w:tc>
          <w:tcPr>
            <w:tcW w:type="dxa" w:w="2340"/>
            <w:tcMar>
              <w:top w:w="100" w:type="dxa"/>
              <w:bottom w:w="100" w:type="dxa"/>
              <w:left w:w="120" w:type="dxa"/>
              <w:right w:w="120" w:type="dxa"/>
            </w:tcMar>
          </w:tcPr>
          <w:p>
            <w:r>
              <w:rPr>
                <w:sz w:val="19"/>
              </w:rPr>
              <w:t>Pandas</w:t>
              <w:br/>
              <w:t>Openpyxl</w:t>
              <w:br/>
              <w:t>Re (Regex)</w:t>
            </w:r>
          </w:p>
        </w:tc>
        <w:tc>
          <w:tcPr>
            <w:tcW w:type="dxa" w:w="2340"/>
            <w:tcMar>
              <w:top w:w="100" w:type="dxa"/>
              <w:bottom w:w="100" w:type="dxa"/>
              <w:left w:w="120" w:type="dxa"/>
              <w:right w:w="120" w:type="dxa"/>
            </w:tcMar>
          </w:tcPr>
          <w:p>
            <w:r>
              <w:rPr>
                <w:sz w:val="19"/>
              </w:rPr>
              <w:t>Processes and joins multi-sheet Excel files (PLANS, MEMBERS, etc.) containing clinical data, checks clinical rule criteria, maps patient codes, and identifies unresolved care gaps.</w:t>
            </w:r>
          </w:p>
        </w:tc>
      </w:tr>
      <w:tr>
        <w:tc>
          <w:tcPr>
            <w:tcW w:type="dxa" w:w="2340"/>
            <w:tcMar>
              <w:top w:w="100" w:type="dxa"/>
              <w:bottom w:w="100" w:type="dxa"/>
              <w:left w:w="120" w:type="dxa"/>
              <w:right w:w="120" w:type="dxa"/>
            </w:tcMar>
          </w:tcPr>
          <w:p>
            <w:r>
              <w:rPr>
                <w:sz w:val="19"/>
              </w:rPr>
              <w:t>Machine Learning Models</w:t>
            </w:r>
          </w:p>
        </w:tc>
        <w:tc>
          <w:tcPr>
            <w:tcW w:type="dxa" w:w="2340"/>
            <w:tcMar>
              <w:top w:w="100" w:type="dxa"/>
              <w:bottom w:w="100" w:type="dxa"/>
              <w:left w:w="120" w:type="dxa"/>
              <w:right w:w="120" w:type="dxa"/>
            </w:tcMar>
          </w:tcPr>
          <w:p>
            <w:r>
              <w:rPr>
                <w:sz w:val="19"/>
              </w:rPr>
              <w:t>Python (v3.13)</w:t>
            </w:r>
          </w:p>
        </w:tc>
        <w:tc>
          <w:tcPr>
            <w:tcW w:type="dxa" w:w="2340"/>
            <w:tcMar>
              <w:top w:w="100" w:type="dxa"/>
              <w:bottom w:w="100" w:type="dxa"/>
              <w:left w:w="120" w:type="dxa"/>
              <w:right w:w="120" w:type="dxa"/>
            </w:tcMar>
          </w:tcPr>
          <w:p>
            <w:r>
              <w:rPr>
                <w:sz w:val="19"/>
              </w:rPr>
              <w:t>Scikit-Learn</w:t>
              <w:br/>
              <w:t>XGBoost</w:t>
              <w:br/>
              <w:t>Pickle</w:t>
            </w:r>
          </w:p>
        </w:tc>
        <w:tc>
          <w:tcPr>
            <w:tcW w:type="dxa" w:w="2340"/>
            <w:tcMar>
              <w:top w:w="100" w:type="dxa"/>
              <w:bottom w:w="100" w:type="dxa"/>
              <w:left w:w="120" w:type="dxa"/>
              <w:right w:w="120" w:type="dxa"/>
            </w:tcMar>
          </w:tcPr>
          <w:p>
            <w:r>
              <w:rPr>
                <w:sz w:val="19"/>
              </w:rPr>
              <w:t>Performs patient group-split preprocessing, trains ensemble models (RandomForest and XGBoost), and outputs predictive probabilities for member-level gap closure.</w:t>
            </w:r>
          </w:p>
        </w:tc>
      </w:tr>
      <w:tr>
        <w:tc>
          <w:tcPr>
            <w:tcW w:type="dxa" w:w="2340"/>
            <w:tcMar>
              <w:top w:w="100" w:type="dxa"/>
              <w:bottom w:w="100" w:type="dxa"/>
              <w:left w:w="120" w:type="dxa"/>
              <w:right w:w="120" w:type="dxa"/>
            </w:tcMar>
          </w:tcPr>
          <w:p>
            <w:r>
              <w:rPr>
                <w:sz w:val="19"/>
              </w:rPr>
              <w:t>Optimization Solver</w:t>
            </w:r>
          </w:p>
        </w:tc>
        <w:tc>
          <w:tcPr>
            <w:tcW w:type="dxa" w:w="2340"/>
            <w:tcMar>
              <w:top w:w="100" w:type="dxa"/>
              <w:bottom w:w="100" w:type="dxa"/>
              <w:left w:w="120" w:type="dxa"/>
              <w:right w:w="120" w:type="dxa"/>
            </w:tcMar>
          </w:tcPr>
          <w:p>
            <w:r>
              <w:rPr>
                <w:sz w:val="19"/>
              </w:rPr>
              <w:t>Python (v3.13)</w:t>
            </w:r>
          </w:p>
        </w:tc>
        <w:tc>
          <w:tcPr>
            <w:tcW w:type="dxa" w:w="2340"/>
            <w:tcMar>
              <w:top w:w="100" w:type="dxa"/>
              <w:bottom w:w="100" w:type="dxa"/>
              <w:left w:w="120" w:type="dxa"/>
              <w:right w:w="120" w:type="dxa"/>
            </w:tcMar>
          </w:tcPr>
          <w:p>
            <w:r>
              <w:rPr>
                <w:sz w:val="19"/>
              </w:rPr>
              <w:t>SciPy (scipy.optimize.milp)</w:t>
            </w:r>
          </w:p>
        </w:tc>
        <w:tc>
          <w:tcPr>
            <w:tcW w:type="dxa" w:w="2340"/>
            <w:tcMar>
              <w:top w:w="100" w:type="dxa"/>
              <w:bottom w:w="100" w:type="dxa"/>
              <w:left w:w="120" w:type="dxa"/>
              <w:right w:w="120" w:type="dxa"/>
            </w:tcMar>
          </w:tcPr>
          <w:p>
            <w:r>
              <w:rPr>
                <w:sz w:val="19"/>
              </w:rPr>
              <w:t>Formulates and solves Mixed-Integer Linear Programming models to maximize total Star Rating improvement within specific member outreach budget constraints.</w:t>
            </w:r>
          </w:p>
        </w:tc>
      </w:tr>
      <w:tr>
        <w:tc>
          <w:tcPr>
            <w:tcW w:type="dxa" w:w="2340"/>
            <w:tcMar>
              <w:top w:w="100" w:type="dxa"/>
              <w:bottom w:w="100" w:type="dxa"/>
              <w:left w:w="120" w:type="dxa"/>
              <w:right w:w="120" w:type="dxa"/>
            </w:tcMar>
          </w:tcPr>
          <w:p>
            <w:r>
              <w:rPr>
                <w:sz w:val="19"/>
              </w:rPr>
              <w:t>Report Generation</w:t>
            </w:r>
          </w:p>
        </w:tc>
        <w:tc>
          <w:tcPr>
            <w:tcW w:type="dxa" w:w="2340"/>
            <w:tcMar>
              <w:top w:w="100" w:type="dxa"/>
              <w:bottom w:w="100" w:type="dxa"/>
              <w:left w:w="120" w:type="dxa"/>
              <w:right w:w="120" w:type="dxa"/>
            </w:tcMar>
          </w:tcPr>
          <w:p>
            <w:r>
              <w:rPr>
                <w:sz w:val="19"/>
              </w:rPr>
              <w:t>Python (v3.13)</w:t>
            </w:r>
          </w:p>
        </w:tc>
        <w:tc>
          <w:tcPr>
            <w:tcW w:type="dxa" w:w="2340"/>
            <w:tcMar>
              <w:top w:w="100" w:type="dxa"/>
              <w:bottom w:w="100" w:type="dxa"/>
              <w:left w:w="120" w:type="dxa"/>
              <w:right w:w="120" w:type="dxa"/>
            </w:tcMar>
          </w:tcPr>
          <w:p>
            <w:r>
              <w:rPr>
                <w:sz w:val="19"/>
              </w:rPr>
              <w:t>ReportLab (PDF)</w:t>
            </w:r>
          </w:p>
        </w:tc>
        <w:tc>
          <w:tcPr>
            <w:tcW w:type="dxa" w:w="2340"/>
            <w:tcMar>
              <w:top w:w="100" w:type="dxa"/>
              <w:bottom w:w="100" w:type="dxa"/>
              <w:left w:w="120" w:type="dxa"/>
              <w:right w:w="120" w:type="dxa"/>
            </w:tcMar>
          </w:tcPr>
          <w:p>
            <w:r>
              <w:rPr>
                <w:sz w:val="19"/>
              </w:rPr>
              <w:t>Assembles and renders optimized outreach databases into high-fidelity landscape PDF campaign briefs print-ready for clinical stakeholders.</w:t>
            </w:r>
          </w:p>
        </w:tc>
      </w:tr>
    </w:tbl>
    <w:p>
      <w:pPr>
        <w:spacing w:after="400"/>
      </w:pPr>
    </w:p>
    <w:p>
      <w:pPr>
        <w:spacing w:after="200"/>
      </w:pPr>
      <w:r>
        <w:rPr>
          <w:rFonts w:ascii="Arial" w:hAnsi="Arial"/>
          <w:b/>
          <w:color w:val="0B2154"/>
          <w:sz w:val="32"/>
        </w:rPr>
        <w:t>3. Strategic Selection Rationales</w:t>
      </w:r>
    </w:p>
    <w:p>
      <w:pPr>
        <w:pStyle w:val="ListBullet"/>
        <w:spacing w:after="160"/>
      </w:pPr>
      <w:r>
        <w:rPr>
          <w:b/>
          <w:color w:val="1E3A8A"/>
        </w:rPr>
        <w:t xml:space="preserve">React (v19) &amp; Vite (v8) vs. Traditional Multi-Page or Webpack-based Frameworks: </w:t>
      </w:r>
      <w:r>
        <w:t>React provides a component-driven declarative design system allowing the page to re-render calculations instantly as parameters (like budget limits) change. Vite acts as the compilation layer, using native ES modules to compile in under 300 milliseconds, bypassing Webpack's slow startup cycle and maintaining peak developer efficiency.</w:t>
      </w:r>
    </w:p>
    <w:p>
      <w:pPr>
        <w:pStyle w:val="ListBullet"/>
        <w:spacing w:after="160"/>
      </w:pPr>
      <w:r>
        <w:rPr>
          <w:b/>
          <w:color w:val="1E3A8A"/>
        </w:rPr>
        <w:t xml:space="preserve">TypeScript vs. Standard JavaScript: </w:t>
      </w:r>
      <w:r>
        <w:t>Medicare data contains hundreds of clinical metrics, ICD-10 codes, and member identifiers. TypeScript enforces static typing across the data flow, preventing client-side crashes (e.g., trying to read an undefined member property) during production runtime.</w:t>
      </w:r>
    </w:p>
    <w:p>
      <w:pPr>
        <w:pStyle w:val="ListBullet"/>
        <w:spacing w:after="160"/>
      </w:pPr>
      <w:r>
        <w:rPr>
          <w:b/>
          <w:color w:val="1E3A8A"/>
        </w:rPr>
        <w:t xml:space="preserve">FastAPI &amp; Uvicorn vs. Flask / Django: </w:t>
      </w:r>
      <w:r>
        <w:t>FastAPI uses Python's modern type hinting to auto-serialize/validate requests and generate OpenAPI schemas. Running on top of Uvicorn, FastAPI provides asynchronous concurrency comparable to Node.js and Go, outperforming standard synchronous Flask/Django instances by multiple orders of magnitude under load.</w:t>
      </w:r>
    </w:p>
    <w:p>
      <w:pPr>
        <w:pStyle w:val="ListBullet"/>
        <w:spacing w:after="160"/>
      </w:pPr>
      <w:r>
        <w:rPr>
          <w:b/>
          <w:color w:val="1E3A8A"/>
        </w:rPr>
        <w:t xml:space="preserve">SciPy MILP vs. External Commercial Solvers (Gurobi/CPLEX): </w:t>
      </w:r>
      <w:r>
        <w:t>Commercial solvers require proprietary license keys, external binary setup, and high operating costs. SciPy's built-in MILP solver runs purely in-memory, integrates seamlessly with Python data structures, is completely free, and easily computes optimal outcomes for thousands of constraints in milliseconds.</w:t>
      </w:r>
    </w:p>
    <w:p>
      <w:pPr>
        <w:pStyle w:val="ListBullet"/>
        <w:spacing w:after="160"/>
      </w:pPr>
      <w:r>
        <w:rPr>
          <w:b/>
          <w:color w:val="1E3A8A"/>
        </w:rPr>
        <w:t xml:space="preserve">ReportLab Landscape Reports vs. Browser Print Engines: </w:t>
      </w:r>
      <w:r>
        <w:t>Standard browser printing is prone to page-boundary breaks, broken CSS rules, and messy tables. ReportLab acts as a programmatic PDF rendering engine, ensuring tables are split perfectly across pages, applying Metric Shift brand colors, maintaining exact landscape column spacing, and generating consistent print-ready outreach briefs.</w:t>
      </w:r>
    </w:p>
    <w:p>
      <w:pPr>
        <w:spacing w:after="300"/>
      </w:pPr>
    </w:p>
    <w:p>
      <w:pPr>
        <w:spacing w:after="200"/>
      </w:pPr>
      <w:r>
        <w:rPr>
          <w:rFonts w:ascii="Arial" w:hAnsi="Arial"/>
          <w:b/>
          <w:color w:val="0B2154"/>
          <w:sz w:val="32"/>
        </w:rPr>
        <w:t>4. Data Flow &amp; Integration Pipeline</w:t>
      </w:r>
    </w:p>
    <w:p>
      <w:pPr>
        <w:spacing w:after="120"/>
        <w:ind w:left="360"/>
      </w:pPr>
      <w:r>
        <w:t>1. UPLOAD &amp; PARSING: The user uploads the multi-sheet clinical Excel database via the React frontend. FastAPI receives the file and passes it to the pandas data parser.</w:t>
      </w:r>
    </w:p>
    <w:p>
      <w:pPr>
        <w:spacing w:after="120"/>
        <w:ind w:left="360"/>
      </w:pPr>
      <w:r>
        <w:t>2. RULE-BASED QUERYING: The Rule Engine processes enrollment periods, claims records, and clinical logs to detect active care gaps (e.g., controlling blood pressure, statin therapies).</w:t>
      </w:r>
    </w:p>
    <w:p>
      <w:pPr>
        <w:spacing w:after="120"/>
        <w:ind w:left="360"/>
      </w:pPr>
      <w:r>
        <w:t>3. MACHINE LEARNING CLASSIFICATION: Cleaned member profiles are routed to the XGBoost ML Pipeline. The model calculates gap-closure probabilities based on patient history, demographics, and past adherence.</w:t>
      </w:r>
    </w:p>
    <w:p>
      <w:pPr>
        <w:spacing w:after="120"/>
        <w:ind w:left="360"/>
      </w:pPr>
      <w:r>
        <w:t>4. MILP OPTIMIZATION: The computed closure probabilities and financial impacts are formulated into a multi-objective MILP optimization problem. SciPy isolates the optimal subset of patients to contact to maximize Star Rating improvement under the user-defined budget.</w:t>
      </w:r>
    </w:p>
    <w:p>
      <w:pPr>
        <w:spacing w:after="120"/>
        <w:ind w:left="360"/>
      </w:pPr>
      <w:r>
        <w:t>5. VISUALIZATION &amp; EXPORT: The UI renders optimization metrics (total outreach list, contribution charts, star rating simulated metrics). Clicking 'Download Results' invokes the ReportLab pipeline, generating a formatted PDF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