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5738F" w14:textId="77777777" w:rsidR="0095249F" w:rsidRDefault="00000000">
      <w:pPr>
        <w:spacing w:before="240" w:after="120"/>
        <w:jc w:val="center"/>
      </w:pPr>
      <w:r>
        <w:rPr>
          <w:rFonts w:ascii="Arial" w:eastAsia="Arial" w:hAnsi="Arial" w:cs="Arial"/>
          <w:b/>
          <w:bCs/>
          <w:color w:val="1A3C5E"/>
          <w:sz w:val="36"/>
          <w:szCs w:val="36"/>
        </w:rPr>
        <w:t>An Explainable Multi-Agent Framework for Patient-Centric Medical Report Understanding and Recommendation</w:t>
      </w:r>
    </w:p>
    <w:p w14:paraId="6C2ED9F6" w14:textId="77777777" w:rsidR="0095249F" w:rsidRDefault="00000000">
      <w:pPr>
        <w:spacing w:before="60" w:after="60"/>
        <w:jc w:val="center"/>
      </w:pPr>
      <w:r>
        <w:rPr>
          <w:rFonts w:ascii="Arial" w:eastAsia="Arial" w:hAnsi="Arial" w:cs="Arial"/>
          <w:b/>
          <w:bCs/>
        </w:rPr>
        <w:t>Ch. Venkata Lakshmi Vardhan¹, Venkata Chiranjeevi Segu¹, A. Venkata Sai Harshendra¹</w:t>
      </w:r>
    </w:p>
    <w:p w14:paraId="5C6CA83B" w14:textId="77777777" w:rsidR="0095249F" w:rsidRDefault="00000000">
      <w:pPr>
        <w:spacing w:before="40" w:after="40"/>
        <w:jc w:val="center"/>
      </w:pPr>
      <w:r>
        <w:rPr>
          <w:i/>
          <w:iCs/>
          <w:color w:val="444444"/>
          <w:sz w:val="20"/>
          <w:szCs w:val="20"/>
        </w:rPr>
        <w:t>¹Department of Artificial Intelligence and Engineering, Amrita Vishwa Vidyapeetham, India</w:t>
      </w:r>
    </w:p>
    <w:p w14:paraId="4F7EBC6B" w14:textId="77777777" w:rsidR="0095249F" w:rsidRDefault="00000000">
      <w:pPr>
        <w:spacing w:before="40" w:after="200"/>
        <w:jc w:val="center"/>
      </w:pPr>
      <w:r>
        <w:rPr>
          <w:i/>
          <w:iCs/>
          <w:color w:val="444444"/>
          <w:sz w:val="20"/>
          <w:szCs w:val="20"/>
        </w:rPr>
        <w:t xml:space="preserve">Mentor: Dr. Sathya Rajendra </w:t>
      </w:r>
      <w:proofErr w:type="gramStart"/>
      <w:r>
        <w:rPr>
          <w:i/>
          <w:iCs/>
          <w:color w:val="444444"/>
          <w:sz w:val="20"/>
          <w:szCs w:val="20"/>
        </w:rPr>
        <w:t>Singh .R</w:t>
      </w:r>
      <w:proofErr w:type="gramEnd"/>
    </w:p>
    <w:p w14:paraId="4C0F3EAB" w14:textId="77777777" w:rsidR="0095249F" w:rsidRDefault="0095249F">
      <w:pPr>
        <w:pBdr>
          <w:bottom w:val="single" w:sz="4" w:space="1" w:color="1A3C5E"/>
        </w:pBdr>
        <w:spacing w:before="100" w:after="100"/>
      </w:pPr>
    </w:p>
    <w:p w14:paraId="7FE4123D" w14:textId="77777777" w:rsidR="0095249F" w:rsidRDefault="00000000">
      <w:pPr>
        <w:pStyle w:val="Heading1"/>
      </w:pPr>
      <w:r>
        <w:t>Abstract</w:t>
      </w:r>
    </w:p>
    <w:p w14:paraId="6B9CB27B" w14:textId="42F2B516" w:rsidR="0095249F" w:rsidRDefault="00000000">
      <w:pPr>
        <w:spacing w:before="60" w:after="60" w:line="360" w:lineRule="auto"/>
        <w:jc w:val="both"/>
      </w:pPr>
      <w:r>
        <w:t xml:space="preserve">Medical reports are primarily </w:t>
      </w:r>
      <w:r w:rsidR="00D7711F">
        <w:t>written</w:t>
      </w:r>
      <w:r>
        <w:t xml:space="preserve"> for clinicians and routinely employ specialized terminology that renders them inaccessible to lay patients. Existing AI-driven approaches largely address clinical summarization without guaranteeing genuine patient comprehension or safety-oriented guidance. This paper presents an Explainable Multi-Agent Framework (EMAF) that transforms free-text clinical discharge summaries into patient-centric disease explanations and justified, non-diagnostic recommendations. The architecture integrates </w:t>
      </w:r>
      <w:proofErr w:type="spellStart"/>
      <w:r>
        <w:t>BioClinicalBERT</w:t>
      </w:r>
      <w:proofErr w:type="spellEnd"/>
      <w:r>
        <w:t>—pre-trained on MIMIC-III clinical notes—as a domain-grounded classification backbone and FLAN-T5 as an instruction-controlled generative reasoning engine. Five specialized agents</w:t>
      </w:r>
      <w:r w:rsidR="00D7711F">
        <w:t xml:space="preserve"> </w:t>
      </w:r>
      <w:r>
        <w:t>Risk, Explainability, Recommendation, Justification, and Verification—operate in a modular pipeline to decompose the reasoning process, enforce safety guardrails, and ensure interpretable outputs. The system was evaluated on 20 real-world MIMIC-III discharge summaries spanning five disease categories: cardiovascular, respiratory, endocrine, infectious, and neurological. Quantitative assessment encompasses classification performance (Precision, Recall, F1-score), readability improvement via Flesch-Kincaid Grade Level (FKGL), and information fidelity through QA-based accuracy and information coverage metrics. Experimental results demonstrate measurable gains in readability while preserving critical clinical content, underscoring the framework’s potential as a trustworthy, interpretable, and patient-safe clinical AI assistant.</w:t>
      </w:r>
    </w:p>
    <w:p w14:paraId="7578107E" w14:textId="77777777" w:rsidR="0095249F" w:rsidRDefault="0095249F">
      <w:pPr>
        <w:spacing w:before="80" w:after="80"/>
      </w:pPr>
    </w:p>
    <w:p w14:paraId="1A1D9CB3" w14:textId="77777777" w:rsidR="0095249F" w:rsidRDefault="00000000">
      <w:pPr>
        <w:spacing w:before="60" w:after="60" w:line="360" w:lineRule="auto"/>
        <w:jc w:val="both"/>
      </w:pPr>
      <w:r w:rsidRPr="00D7711F">
        <w:rPr>
          <w:b/>
          <w:bCs/>
          <w:i/>
          <w:iCs/>
        </w:rPr>
        <w:t>Keywords:</w:t>
      </w:r>
      <w:r>
        <w:rPr>
          <w:i/>
          <w:iCs/>
        </w:rPr>
        <w:t xml:space="preserve"> Explainable AI, Multi-Agent Systems, </w:t>
      </w:r>
      <w:proofErr w:type="spellStart"/>
      <w:r>
        <w:rPr>
          <w:i/>
          <w:iCs/>
        </w:rPr>
        <w:t>BioClinicalBERT</w:t>
      </w:r>
      <w:proofErr w:type="spellEnd"/>
      <w:r>
        <w:rPr>
          <w:i/>
          <w:iCs/>
        </w:rPr>
        <w:t>, FLAN-T5, Medical Report Understanding, Patient-Centric AI, MIMIC-III, Clinical NLP</w:t>
      </w:r>
    </w:p>
    <w:p w14:paraId="7D113A4B" w14:textId="77777777" w:rsidR="0095249F" w:rsidRDefault="0095249F">
      <w:pPr>
        <w:pBdr>
          <w:bottom w:val="single" w:sz="4" w:space="1" w:color="1A3C5E"/>
        </w:pBdr>
        <w:spacing w:before="100" w:after="100"/>
      </w:pPr>
    </w:p>
    <w:p w14:paraId="18F64317" w14:textId="77777777" w:rsidR="0095249F" w:rsidRDefault="00000000">
      <w:pPr>
        <w:pStyle w:val="Heading1"/>
      </w:pPr>
      <w:r>
        <w:t>1. Introduction</w:t>
      </w:r>
    </w:p>
    <w:p w14:paraId="3A7875F0" w14:textId="77777777" w:rsidR="0095249F" w:rsidRDefault="00000000">
      <w:pPr>
        <w:spacing w:before="60" w:after="60" w:line="360" w:lineRule="auto"/>
        <w:jc w:val="both"/>
      </w:pPr>
      <w:r>
        <w:t xml:space="preserve">The widespread digitization of healthcare records has produced an unprecedented volume of clinical text data. Hospital discharge summaries in particular contain comprehensive information regarding patient </w:t>
      </w:r>
      <w:r>
        <w:lastRenderedPageBreak/>
        <w:t>diagnoses, treatments, and follow-up instructions. However, these documents are inherently written for medical professionals and employ clinical nomenclature, abbreviations, and disease codes that are opaque to the average patient. Studies consistently show that low health literacy is associated with poor treatment adherence, increased readmission rates, and adverse health outcomes. The gap between clinical documentation complexity and patient comprehension therefore constitutes a critical public health problem.</w:t>
      </w:r>
    </w:p>
    <w:p w14:paraId="3A5154F3" w14:textId="77777777" w:rsidR="0095249F" w:rsidRDefault="0095249F">
      <w:pPr>
        <w:spacing w:before="80" w:after="80"/>
      </w:pPr>
    </w:p>
    <w:p w14:paraId="5D34C32B" w14:textId="77777777" w:rsidR="0095249F" w:rsidRDefault="00000000">
      <w:pPr>
        <w:spacing w:before="60" w:after="60" w:line="360" w:lineRule="auto"/>
        <w:jc w:val="both"/>
      </w:pPr>
      <w:r>
        <w:t>While natural language processing (NLP) has advanced remarkably in biomedical text understanding, existing clinical AI solutions predominantly focus on information extraction and summarization tasks oriented toward clinicians. Summarization, however, does not equate to patient understanding. A condensed clinical summary retains medical jargon and does not explain disease mechanisms, risk levels, or safe next steps in accessible language. There is currently no standardized framework that explicitly models disease explanation and patient-safe recommendations in a structured, explainable, and verifiable manner using real clinical data.</w:t>
      </w:r>
    </w:p>
    <w:p w14:paraId="4C30411B" w14:textId="77777777" w:rsidR="0095249F" w:rsidRDefault="0095249F">
      <w:pPr>
        <w:spacing w:before="80" w:after="80"/>
      </w:pPr>
    </w:p>
    <w:p w14:paraId="723E85A4" w14:textId="77777777" w:rsidR="0095249F" w:rsidRDefault="00000000">
      <w:pPr>
        <w:spacing w:before="60" w:after="60" w:line="360" w:lineRule="auto"/>
        <w:jc w:val="both"/>
      </w:pPr>
      <w:r>
        <w:t>Single large-model architectures further compound this problem: they conflate multiple reasoning tasks—classification, explanation, recommendation, justification, and verification—into a single opaque inference pass, making it impossible to audit individual reasoning steps or enforce targeted safety policies. Patient-centric healthcare AI demands transparency at each decision layer.</w:t>
      </w:r>
    </w:p>
    <w:p w14:paraId="6399E6CD" w14:textId="77777777" w:rsidR="0095249F" w:rsidRDefault="0095249F">
      <w:pPr>
        <w:spacing w:before="80" w:after="80"/>
      </w:pPr>
    </w:p>
    <w:p w14:paraId="22383AFD" w14:textId="77777777" w:rsidR="0095249F" w:rsidRDefault="00000000">
      <w:pPr>
        <w:spacing w:before="60" w:after="60" w:line="360" w:lineRule="auto"/>
        <w:jc w:val="both"/>
      </w:pPr>
      <w:r>
        <w:t xml:space="preserve">To address these gaps, this paper proposes the Explainable Multi-Agent Framework (EMAF), a hybrid architecture that combines the domain-specific representation power of </w:t>
      </w:r>
      <w:proofErr w:type="spellStart"/>
      <w:r>
        <w:t>BioClinicalBERT</w:t>
      </w:r>
      <w:proofErr w:type="spellEnd"/>
      <w:r>
        <w:t xml:space="preserve"> with the instruction-controlled generative reasoning capability of FLAN-T5. The framework decomposes the clinical understanding pipeline into five purpose-built autonomous agents, each responsible for a distinct sub-task: risk stratification, patient-friendly explanation, safe recommendation generation, rationale justification, and output verification. Operating on real de-identified MIMIC-III discharge summaries, the system produces outputs evaluated against quantitative readability, fidelity, and classification benchmarks.</w:t>
      </w:r>
    </w:p>
    <w:p w14:paraId="623BC0B1" w14:textId="77777777" w:rsidR="0095249F" w:rsidRDefault="0095249F">
      <w:pPr>
        <w:spacing w:before="80" w:after="80"/>
      </w:pPr>
    </w:p>
    <w:p w14:paraId="295C3CC4" w14:textId="77777777" w:rsidR="0095249F" w:rsidRDefault="00000000">
      <w:pPr>
        <w:spacing w:before="60" w:after="60" w:line="360" w:lineRule="auto"/>
        <w:jc w:val="both"/>
      </w:pPr>
      <w:r>
        <w:t>The key contributions of this work are: (</w:t>
      </w:r>
      <w:proofErr w:type="spellStart"/>
      <w:r>
        <w:t>i</w:t>
      </w:r>
      <w:proofErr w:type="spellEnd"/>
      <w:r>
        <w:t xml:space="preserve">) a novel multi-agent decomposition of the clinical report understanding task; (ii) a hybrid </w:t>
      </w:r>
      <w:proofErr w:type="spellStart"/>
      <w:r>
        <w:t>BioClinicalBERT</w:t>
      </w:r>
      <w:proofErr w:type="spellEnd"/>
      <w:r>
        <w:t xml:space="preserve"> + FLAN-T5 architecture grounded in real clinical data; (iii) an explicit safety verification layer embedded within the pipeline; and (iv) comprehensive quantitative evaluation spanning classification performance, readability, and information preservation. The framework is modular, reproducible, and designed to augment—not replace—professional clinical judgment.</w:t>
      </w:r>
    </w:p>
    <w:p w14:paraId="5293E559" w14:textId="77777777" w:rsidR="0095249F" w:rsidRDefault="0095249F">
      <w:pPr>
        <w:pBdr>
          <w:bottom w:val="single" w:sz="4" w:space="1" w:color="1A3C5E"/>
        </w:pBdr>
        <w:spacing w:before="100" w:after="100"/>
      </w:pPr>
    </w:p>
    <w:p w14:paraId="0ED25F60" w14:textId="77777777" w:rsidR="0095249F" w:rsidRDefault="00000000">
      <w:pPr>
        <w:pStyle w:val="Heading1"/>
      </w:pPr>
      <w:r>
        <w:lastRenderedPageBreak/>
        <w:t>2. Literature Survey</w:t>
      </w:r>
    </w:p>
    <w:p w14:paraId="37A1A9C3" w14:textId="77777777" w:rsidR="0095249F" w:rsidRDefault="00000000">
      <w:pPr>
        <w:pStyle w:val="Heading2"/>
      </w:pPr>
      <w:r>
        <w:t>2.1 Clinical NLP and Medical Text Understanding</w:t>
      </w:r>
    </w:p>
    <w:p w14:paraId="4FFA670B" w14:textId="77777777" w:rsidR="0095249F" w:rsidRDefault="00000000">
      <w:pPr>
        <w:spacing w:before="60" w:after="60" w:line="360" w:lineRule="auto"/>
        <w:jc w:val="both"/>
      </w:pPr>
      <w:r>
        <w:t xml:space="preserve">The biomedical NLP landscape has been profoundly shaped by the BERT family of transformer models. Devlin et al. (2018) introduced BERT, demonstrating that bidirectional pre-training on large corpora yields state-of-the-art results across NLP benchmarks. Lee et al. (2019) subsequently developed </w:t>
      </w:r>
      <w:proofErr w:type="spellStart"/>
      <w:r>
        <w:t>BioBERT</w:t>
      </w:r>
      <w:proofErr w:type="spellEnd"/>
      <w:r>
        <w:t xml:space="preserve">, pre-trained on PubMed abstracts and PubMed Central full-text articles, achieving significant improvements on biomedical named entity recognition, relation extraction, and question answering. </w:t>
      </w:r>
      <w:proofErr w:type="spellStart"/>
      <w:r>
        <w:t>Alsentzer</w:t>
      </w:r>
      <w:proofErr w:type="spellEnd"/>
      <w:r>
        <w:t xml:space="preserve"> et al. (2019) extended this line of work with </w:t>
      </w:r>
      <w:proofErr w:type="spellStart"/>
      <w:r>
        <w:t>ClinicalBERT</w:t>
      </w:r>
      <w:proofErr w:type="spellEnd"/>
      <w:r>
        <w:t xml:space="preserve"> and </w:t>
      </w:r>
      <w:proofErr w:type="spellStart"/>
      <w:r>
        <w:t>BioClinicalBERT</w:t>
      </w:r>
      <w:proofErr w:type="spellEnd"/>
      <w:r>
        <w:t>, pre-trained on MIMIC-III clinical notes, demonstrating that domain-matched pre-training is essential for clinical text tasks such as hospital readmission prediction. These models form the representational foundation for the clinical classification layer in the proposed framework.</w:t>
      </w:r>
    </w:p>
    <w:p w14:paraId="544FFC98" w14:textId="77777777" w:rsidR="0095249F" w:rsidRDefault="0095249F">
      <w:pPr>
        <w:spacing w:before="80" w:after="80"/>
      </w:pPr>
    </w:p>
    <w:p w14:paraId="1B9A26C4" w14:textId="77777777" w:rsidR="0095249F" w:rsidRDefault="00000000">
      <w:pPr>
        <w:spacing w:before="60" w:after="60" w:line="360" w:lineRule="auto"/>
        <w:jc w:val="both"/>
      </w:pPr>
      <w:r>
        <w:t>Johnson et al. (2016) introduced MIMIC-III, a freely available, de-identified critical care database containing clinical notes, diagnoses, and procedures for over 40,000 patients. MIMIC-III has since become the de facto benchmark dataset for clinical NLP research, enabling reproducible evaluation of tasks ranging from ICD code assignment to mortality prediction and discharge summarization.</w:t>
      </w:r>
    </w:p>
    <w:p w14:paraId="03CDF4FD" w14:textId="77777777" w:rsidR="0095249F" w:rsidRDefault="00000000">
      <w:pPr>
        <w:pStyle w:val="Heading2"/>
      </w:pPr>
      <w:r>
        <w:t>2.2 Clinical Summarization and Patient Communication</w:t>
      </w:r>
    </w:p>
    <w:p w14:paraId="0F3C41D7" w14:textId="77777777" w:rsidR="0095249F" w:rsidRDefault="00000000">
      <w:pPr>
        <w:spacing w:before="60" w:after="60" w:line="360" w:lineRule="auto"/>
        <w:jc w:val="both"/>
      </w:pPr>
      <w:r>
        <w:t>Summarization of clinical documents has been approached through both extractive and abstractive paradigms. Guo et al. (2021) demonstrated the utility of pre-trained transformers for radiology report summarization, while Krishna et al. (2021) highlighted the inadequacy of general-purpose summarization models for patient-facing clinical communication. Crucially, readability of AI-generated clinical summaries has emerged as a distinct evaluation criterion: Flesch-Kincaid Grade Level (FKGL) has been widely adopted as a proxy for patient accessibility, with several studies advocating target readability at or below the 8th-grade level for lay patient populations.</w:t>
      </w:r>
    </w:p>
    <w:p w14:paraId="15B683DD" w14:textId="77777777" w:rsidR="0095249F" w:rsidRDefault="0095249F">
      <w:pPr>
        <w:spacing w:before="80" w:after="80"/>
      </w:pPr>
    </w:p>
    <w:p w14:paraId="15ED75F3" w14:textId="77777777" w:rsidR="0095249F" w:rsidRDefault="00000000">
      <w:pPr>
        <w:spacing w:before="60" w:after="60" w:line="360" w:lineRule="auto"/>
        <w:jc w:val="both"/>
      </w:pPr>
      <w:r>
        <w:t>Despite these advances, a critical gap persists: existing systems do not explicitly model the distinction between clinical summarization and patient-</w:t>
      </w:r>
      <w:proofErr w:type="spellStart"/>
      <w:r>
        <w:t>centered</w:t>
      </w:r>
      <w:proofErr w:type="spellEnd"/>
      <w:r>
        <w:t xml:space="preserve"> disease explanation. The former condenses clinical content for professionals; the latter requires translating pathophysiology and clinical findings into language comprehensible to individuals without medical training, while simultaneously generating safe and appropriately caveated follow-up guidance.</w:t>
      </w:r>
    </w:p>
    <w:p w14:paraId="51D2BBC0" w14:textId="77777777" w:rsidR="0095249F" w:rsidRDefault="00000000">
      <w:pPr>
        <w:pStyle w:val="Heading2"/>
      </w:pPr>
      <w:r>
        <w:t>2.3 Multi-Agent Systems in Healthcare AI</w:t>
      </w:r>
    </w:p>
    <w:p w14:paraId="1C7991BD" w14:textId="77777777" w:rsidR="0095249F" w:rsidRDefault="00000000">
      <w:pPr>
        <w:spacing w:before="60" w:after="60" w:line="360" w:lineRule="auto"/>
        <w:jc w:val="both"/>
      </w:pPr>
      <w:r>
        <w:t xml:space="preserve">Multi-agent architectures have gained traction in complex AI tasks that benefit from specialization and modular reasoning. Park et al. (2023) demonstrated that networks of language model agents can simulate </w:t>
      </w:r>
      <w:r>
        <w:lastRenderedPageBreak/>
        <w:t xml:space="preserve">human social </w:t>
      </w:r>
      <w:proofErr w:type="spellStart"/>
      <w:r>
        <w:t>behavior</w:t>
      </w:r>
      <w:proofErr w:type="spellEnd"/>
      <w:r>
        <w:t xml:space="preserve"> through role-specialized interaction. In clinical AI, Singhal et al. (2023) showed that large language models (LLMs) such as Med-</w:t>
      </w:r>
      <w:proofErr w:type="spellStart"/>
      <w:r>
        <w:t>PaLM</w:t>
      </w:r>
      <w:proofErr w:type="spellEnd"/>
      <w:r>
        <w:t xml:space="preserve"> 2 can achieve expert-level performance on medical licensing examinations, though they noted the need for structured guardrails to prevent hallucination and unsafe outputs. Hong et al. (2023) proposed </w:t>
      </w:r>
      <w:proofErr w:type="spellStart"/>
      <w:r>
        <w:t>MetaGPT</w:t>
      </w:r>
      <w:proofErr w:type="spellEnd"/>
      <w:r>
        <w:t>, a multi-agent software development framework demonstrating how role decomposition improves complex task performance over single-model approaches.</w:t>
      </w:r>
    </w:p>
    <w:p w14:paraId="7ED8C318" w14:textId="77777777" w:rsidR="0095249F" w:rsidRDefault="0095249F">
      <w:pPr>
        <w:spacing w:before="80" w:after="80"/>
      </w:pPr>
    </w:p>
    <w:p w14:paraId="5CC15BD7" w14:textId="77777777" w:rsidR="0095249F" w:rsidRDefault="00000000">
      <w:pPr>
        <w:spacing w:before="60" w:after="60" w:line="360" w:lineRule="auto"/>
        <w:jc w:val="both"/>
      </w:pPr>
      <w:r>
        <w:t>Wei et al. (2022) introduced Chain-of-Thought (</w:t>
      </w:r>
      <w:proofErr w:type="spellStart"/>
      <w:r>
        <w:t>CoT</w:t>
      </w:r>
      <w:proofErr w:type="spellEnd"/>
      <w:r>
        <w:t>) prompting, demonstrating that eliciting step-by-step reasoning from LLMs substantially improves performance on complex reasoning tasks. This principle directly motivates the instruction-controlled multi-agent design in the proposed framework, wherein each FLAN-T5 agent is prompted with role-specific instructions to produce structured, auditable reasoning chains.</w:t>
      </w:r>
    </w:p>
    <w:p w14:paraId="00ED2525" w14:textId="77777777" w:rsidR="0095249F" w:rsidRDefault="00000000">
      <w:pPr>
        <w:pStyle w:val="Heading2"/>
      </w:pPr>
      <w:r>
        <w:t>2.4 Generative Models for Clinical Reasoning</w:t>
      </w:r>
    </w:p>
    <w:p w14:paraId="24B6AE58" w14:textId="77777777" w:rsidR="0095249F" w:rsidRDefault="00000000">
      <w:pPr>
        <w:spacing w:before="60" w:after="60" w:line="360" w:lineRule="auto"/>
        <w:jc w:val="both"/>
      </w:pPr>
      <w:r>
        <w:t>Chung et al. (2022) introduced FLAN-T5, a family of instruction-tuned text-to-text transformer models that demonstrate strong zero-shot and few-shot generalization across diverse NLP tasks. FLAN-T5’s instruction-following capability makes it particularly suitable for controlled clinical generation tasks where output format, safety constraints, and reasoning transparency are paramount. Prior work by Peng et al. (2023) explored instruction tuning of LLMs on clinical NLP datasets, demonstrating improved performance on clinical reasoning and patient communication tasks compared to base pre-trained models.</w:t>
      </w:r>
    </w:p>
    <w:p w14:paraId="0F4B3EC3" w14:textId="77777777" w:rsidR="0095249F" w:rsidRDefault="0095249F">
      <w:pPr>
        <w:spacing w:before="80" w:after="80"/>
      </w:pPr>
    </w:p>
    <w:p w14:paraId="54B3872F" w14:textId="77777777" w:rsidR="0095249F" w:rsidRDefault="00000000">
      <w:pPr>
        <w:spacing w:before="60" w:after="60" w:line="360" w:lineRule="auto"/>
        <w:jc w:val="both"/>
      </w:pPr>
      <w:r>
        <w:t>Explainability in clinical AI has been addressed through various mechanisms, including attention visualization (Jain and Wallace, 2019), post-hoc saliency methods such as LIME and SHAP (Lundberg and Lee, 2017), and more recently, structured natural language explanations generated by LLMs (</w:t>
      </w:r>
      <w:proofErr w:type="spellStart"/>
      <w:r>
        <w:t>Camburu</w:t>
      </w:r>
      <w:proofErr w:type="spellEnd"/>
      <w:r>
        <w:t xml:space="preserve"> et al., 2018). The proposed framework contributes to this discourse by embedding explainability as a first-class architectural component through the Explainability Agent, rather than as a post-hoc analysis tool.</w:t>
      </w:r>
    </w:p>
    <w:p w14:paraId="0655EB16" w14:textId="77777777" w:rsidR="0095249F" w:rsidRDefault="00000000">
      <w:pPr>
        <w:pStyle w:val="Heading2"/>
      </w:pPr>
      <w:r>
        <w:t>2.5 Patient-Centric AI and Safety Considerations</w:t>
      </w:r>
    </w:p>
    <w:p w14:paraId="29284E0F" w14:textId="77777777" w:rsidR="0095249F" w:rsidRDefault="00000000">
      <w:pPr>
        <w:spacing w:before="60" w:after="60" w:line="360" w:lineRule="auto"/>
        <w:jc w:val="both"/>
      </w:pPr>
      <w:r>
        <w:t xml:space="preserve">Patient safety in AI-generated clinical communication is an underexplored but critical dimension. Topol (2019) articulated the vision of AI as a physician’s assistant that augments rather than replaces clinical decision-making. </w:t>
      </w:r>
      <w:proofErr w:type="spellStart"/>
      <w:r>
        <w:t>Meskó</w:t>
      </w:r>
      <w:proofErr w:type="spellEnd"/>
      <w:r>
        <w:t xml:space="preserve"> and Topol (2023) subsequently reviewed the landscape of generative AI in medicine, identifying hallucination, non-diagnostic safety, and trust calibration as primary barriers to deployment. The proposed Verification Agent directly addresses these concerns by detecting contradictions between agent outputs and flagging potentially unsafe recommendations prior to delivery to the patient.</w:t>
      </w:r>
    </w:p>
    <w:p w14:paraId="0A476F97" w14:textId="77777777" w:rsidR="0095249F" w:rsidRDefault="0095249F">
      <w:pPr>
        <w:pBdr>
          <w:bottom w:val="single" w:sz="4" w:space="1" w:color="1A3C5E"/>
        </w:pBdr>
        <w:spacing w:before="100" w:after="100"/>
      </w:pPr>
    </w:p>
    <w:p w14:paraId="7190BB09" w14:textId="77777777" w:rsidR="0095249F" w:rsidRDefault="00000000">
      <w:pPr>
        <w:pStyle w:val="Heading1"/>
      </w:pPr>
      <w:r>
        <w:lastRenderedPageBreak/>
        <w:t>3. Methodology</w:t>
      </w:r>
    </w:p>
    <w:p w14:paraId="58643789" w14:textId="77777777" w:rsidR="0095249F" w:rsidRDefault="00000000">
      <w:pPr>
        <w:pStyle w:val="Heading2"/>
      </w:pPr>
      <w:r>
        <w:t>3.1 System Overview</w:t>
      </w:r>
    </w:p>
    <w:p w14:paraId="17B378EF" w14:textId="77777777" w:rsidR="0095249F" w:rsidRDefault="00000000">
      <w:pPr>
        <w:spacing w:before="60" w:after="60" w:line="360" w:lineRule="auto"/>
        <w:jc w:val="both"/>
      </w:pPr>
      <w:r>
        <w:t xml:space="preserve">The Explainable Multi-Agent Framework (EMAF) comprises two primary computational layers: (1) a Clinical Classification Layer powered by </w:t>
      </w:r>
      <w:proofErr w:type="spellStart"/>
      <w:r>
        <w:t>BioClinicalBERT</w:t>
      </w:r>
      <w:proofErr w:type="spellEnd"/>
      <w:r>
        <w:t xml:space="preserve"> and (2) a Multi-Agent Reasoning Layer powered by FLAN-T5. The end-to-end pipeline accepts a raw clinical discharge summary as input and produces a structured patient-facing report containing: a disease category label, a risk level assessment, a patient-friendly disease explanation, a set of safe non-diagnostic recommendations, a justification with confidence and limitations, and a verification status. Figure 1 presents the overall architecture diagram.</w:t>
      </w:r>
    </w:p>
    <w:p w14:paraId="5B332D75" w14:textId="77777777" w:rsidR="0095249F" w:rsidRDefault="0095249F">
      <w:pPr>
        <w:spacing w:before="80" w:after="80"/>
      </w:pPr>
    </w:p>
    <w:p w14:paraId="5563CA07" w14:textId="77777777" w:rsidR="0095249F" w:rsidRDefault="00000000">
      <w:pPr>
        <w:spacing w:before="60" w:after="60" w:line="360" w:lineRule="auto"/>
        <w:jc w:val="both"/>
      </w:pPr>
      <w:r>
        <w:t xml:space="preserve">The pipeline is instantiated as: Raw Discharge Summary → </w:t>
      </w:r>
      <w:proofErr w:type="spellStart"/>
      <w:r>
        <w:t>BioClinicalBERT</w:t>
      </w:r>
      <w:proofErr w:type="spellEnd"/>
      <w:r>
        <w:t xml:space="preserve"> Encoder → Classification Head → Risk Agent → Explainability Agent → Recommendation Agent → Justification Agent → Verification Agent → Patient-Facing Output.</w:t>
      </w:r>
    </w:p>
    <w:p w14:paraId="704A574A" w14:textId="77777777" w:rsidR="0095249F" w:rsidRDefault="00000000">
      <w:pPr>
        <w:pStyle w:val="Heading2"/>
      </w:pPr>
      <w:r>
        <w:t>3.2 Dataset</w:t>
      </w:r>
    </w:p>
    <w:p w14:paraId="6F03AF89" w14:textId="77777777" w:rsidR="0095249F" w:rsidRDefault="00000000">
      <w:pPr>
        <w:spacing w:before="60" w:after="60" w:line="360" w:lineRule="auto"/>
        <w:jc w:val="both"/>
      </w:pPr>
      <w:r>
        <w:t xml:space="preserve">The system is evaluated on 20 real-world de-identified discharge summaries drawn from MIMIC-III (Medical Information Mart for Intensive Care III), a publicly available critical care database maintained by PhysioNet. MIMIC-III contains over 40,000 clinical notes from ICU patients at Beth Israel Deaconess Medical </w:t>
      </w:r>
      <w:proofErr w:type="spellStart"/>
      <w:r>
        <w:t>Center</w:t>
      </w:r>
      <w:proofErr w:type="spellEnd"/>
      <w:r>
        <w:t>. The 20 sampled cases span five disease categories: cardiovascular (e.g., heart failure, myocardial infarction), respiratory (e.g., pneumonia, COPD), endocrine (e.g., diabetes mellitus type 2), infectious (e.g., sepsis, urinary tract infections), and neurological (e.g., stroke, epilepsy). ICD-9 diagnosis codes from the MIMIC-III diagnoses table are used to provide ground-truth disease category labels for supervised classification evaluation.</w:t>
      </w:r>
    </w:p>
    <w:p w14:paraId="7B720C22" w14:textId="77777777" w:rsidR="0095249F" w:rsidRDefault="00000000">
      <w:pPr>
        <w:pStyle w:val="Heading2"/>
      </w:pPr>
      <w:r>
        <w:t>3.3 Clinical Classification Layer</w:t>
      </w:r>
    </w:p>
    <w:p w14:paraId="61486DCF" w14:textId="77777777" w:rsidR="0095249F" w:rsidRDefault="00000000">
      <w:pPr>
        <w:spacing w:before="60" w:after="60" w:line="360" w:lineRule="auto"/>
        <w:jc w:val="both"/>
      </w:pPr>
      <w:r>
        <w:t xml:space="preserve">The classification layer employs </w:t>
      </w:r>
      <w:proofErr w:type="spellStart"/>
      <w:r>
        <w:t>BioClinicalBERT</w:t>
      </w:r>
      <w:proofErr w:type="spellEnd"/>
      <w:r>
        <w:t xml:space="preserve"> (</w:t>
      </w:r>
      <w:proofErr w:type="spellStart"/>
      <w:r>
        <w:t>emilyalsentzer</w:t>
      </w:r>
      <w:proofErr w:type="spellEnd"/>
      <w:r>
        <w:t>/</w:t>
      </w:r>
      <w:proofErr w:type="spellStart"/>
      <w:r>
        <w:t>Bio_ClinicalBERT</w:t>
      </w:r>
      <w:proofErr w:type="spellEnd"/>
      <w:r>
        <w:t xml:space="preserve">), a BERT-base model fine-tuned on all clinical notes in MIMIC-III. Each discharge summary is tokenized using the </w:t>
      </w:r>
      <w:proofErr w:type="spellStart"/>
      <w:r>
        <w:t>BioClinicalBERT</w:t>
      </w:r>
      <w:proofErr w:type="spellEnd"/>
      <w:r>
        <w:t xml:space="preserve"> </w:t>
      </w:r>
      <w:proofErr w:type="spellStart"/>
      <w:r>
        <w:t>WordPiece</w:t>
      </w:r>
      <w:proofErr w:type="spellEnd"/>
      <w:r>
        <w:t xml:space="preserve"> tokenizer with a maximum sequence length of 512 tokens. The [CLS] token representation (768-dimensional embedding) extracted from the final transformer layer is passed through a task-specific linear classification head followed by a </w:t>
      </w:r>
      <w:proofErr w:type="spellStart"/>
      <w:r>
        <w:t>softmax</w:t>
      </w:r>
      <w:proofErr w:type="spellEnd"/>
      <w:r>
        <w:t xml:space="preserve"> activation function, producing a probability distribution over five disease categories. The classification head is trained with cross-entropy loss using the </w:t>
      </w:r>
      <w:proofErr w:type="spellStart"/>
      <w:r>
        <w:t>AdamW</w:t>
      </w:r>
      <w:proofErr w:type="spellEnd"/>
      <w:r>
        <w:t xml:space="preserve"> optimizer with a learning rate of 2e−5 and a cosine learning rate schedule. The model is evaluated using Precision, Recall, and F1-score computed per class and as weighted macro-averages.</w:t>
      </w:r>
    </w:p>
    <w:p w14:paraId="32A988F9" w14:textId="77777777" w:rsidR="0095249F" w:rsidRDefault="00000000">
      <w:pPr>
        <w:pStyle w:val="Heading2"/>
      </w:pPr>
      <w:r>
        <w:t>3.4 Multi-Agent Reasoning Layer</w:t>
      </w:r>
    </w:p>
    <w:p w14:paraId="2CF88C14" w14:textId="77777777" w:rsidR="0095249F" w:rsidRDefault="00000000">
      <w:pPr>
        <w:spacing w:before="60" w:after="60" w:line="360" w:lineRule="auto"/>
        <w:jc w:val="both"/>
      </w:pPr>
      <w:r>
        <w:lastRenderedPageBreak/>
        <w:t>The reasoning layer comprises five autonomous agents, each instantiated as a separately prompted FLAN-T5 (google/flan-t5-large) inference call. Agents receive the discharge summary, the predicted disease category, and outputs from predecessor agents as context. Each agent is prompted using task-specific instruction templates designed to elicit structured, patient-appropriate, and safety-compliant responses.</w:t>
      </w:r>
    </w:p>
    <w:p w14:paraId="5622AA04" w14:textId="77777777" w:rsidR="0095249F" w:rsidRDefault="0095249F">
      <w:pPr>
        <w:spacing w:before="80" w:after="80"/>
      </w:pPr>
    </w:p>
    <w:p w14:paraId="0AE131A0" w14:textId="77777777" w:rsidR="0095249F" w:rsidRDefault="00000000">
      <w:pPr>
        <w:spacing w:before="60" w:after="60" w:line="360" w:lineRule="auto"/>
        <w:jc w:val="both"/>
      </w:pPr>
      <w:r>
        <w:t>Risk Agent: Receives the discharge summary and disease category. Outputs a risk level (Low / Medium / High) with a one-to-two sentence structured rationale grounded in clinical indicators identified in the text (e.g., elevated troponin, oxygen saturation below 90%).</w:t>
      </w:r>
    </w:p>
    <w:p w14:paraId="7C397640" w14:textId="77777777" w:rsidR="0095249F" w:rsidRDefault="0095249F">
      <w:pPr>
        <w:spacing w:before="80" w:after="80"/>
      </w:pPr>
    </w:p>
    <w:p w14:paraId="437A7F1E" w14:textId="77777777" w:rsidR="0095249F" w:rsidRDefault="00000000">
      <w:pPr>
        <w:spacing w:before="60" w:after="60" w:line="360" w:lineRule="auto"/>
        <w:jc w:val="both"/>
      </w:pPr>
      <w:r>
        <w:t>Explainability Agent: Translates identified clinical findings into patient-friendly language targeting a reading level below FKGL 8. Technical terms are paraphrased or explained using analogies and simple vocabulary. Medical jargon (e.g., “myocardial infarction”) is replaced with accessible equivalents (e.g., “heart attack, which occurs when blood flow to part of the heart is blocked”).</w:t>
      </w:r>
    </w:p>
    <w:p w14:paraId="4D6B8421" w14:textId="77777777" w:rsidR="0095249F" w:rsidRDefault="0095249F">
      <w:pPr>
        <w:spacing w:before="80" w:after="80"/>
      </w:pPr>
    </w:p>
    <w:p w14:paraId="30B8C4D9" w14:textId="77777777" w:rsidR="0095249F" w:rsidRDefault="00000000">
      <w:pPr>
        <w:spacing w:before="60" w:after="60" w:line="360" w:lineRule="auto"/>
        <w:jc w:val="both"/>
      </w:pPr>
      <w:r>
        <w:t>Recommendation Agent: Generates three to five safe, non-diagnostic next steps for the patient, explicitly avoiding direct diagnostic claims or prescription of medications. Recommendations follow a “consult a healthcare provider if...” or “monitor for...” format, emphasizing follow-up care and symptom monitoring.</w:t>
      </w:r>
    </w:p>
    <w:p w14:paraId="3B649106" w14:textId="77777777" w:rsidR="0095249F" w:rsidRDefault="0095249F">
      <w:pPr>
        <w:spacing w:before="80" w:after="80"/>
      </w:pPr>
    </w:p>
    <w:p w14:paraId="1C1C6501" w14:textId="77777777" w:rsidR="0095249F" w:rsidRDefault="00000000">
      <w:pPr>
        <w:spacing w:before="60" w:after="60" w:line="360" w:lineRule="auto"/>
        <w:jc w:val="both"/>
      </w:pPr>
      <w:r>
        <w:t>Justification Agent: Produces a structured rationale for the recommendations, citing specific findings from the discharge summary. The output includes a confidence level (Low / Medium / High) and an explicit statement of limitations (e.g., “this system cannot replace a clinician’s assessment of your current condition”).</w:t>
      </w:r>
    </w:p>
    <w:p w14:paraId="085B9854" w14:textId="77777777" w:rsidR="0095249F" w:rsidRDefault="0095249F">
      <w:pPr>
        <w:spacing w:before="80" w:after="80"/>
      </w:pPr>
    </w:p>
    <w:p w14:paraId="3CEF9480" w14:textId="77777777" w:rsidR="0095249F" w:rsidRDefault="00000000">
      <w:pPr>
        <w:spacing w:before="60" w:after="60" w:line="360" w:lineRule="auto"/>
        <w:jc w:val="both"/>
      </w:pPr>
      <w:r>
        <w:t xml:space="preserve">Verification Agent: Performs a consistency check across the outputs of all preceding agents. It flags semantic contradictions (e.g., a </w:t>
      </w:r>
      <w:proofErr w:type="gramStart"/>
      <w:r>
        <w:t>Low risk</w:t>
      </w:r>
      <w:proofErr w:type="gramEnd"/>
      <w:r>
        <w:t xml:space="preserve"> label paired with High urgency recommendations), detects potentially unsafe language (e.g., definitive diagnostic statements), and returns a binary Verified / Flagged status. Flagged outputs trigger a re-generation request to the responsible upstream agent.</w:t>
      </w:r>
    </w:p>
    <w:p w14:paraId="4E20BF00" w14:textId="77777777" w:rsidR="0095249F" w:rsidRDefault="00000000">
      <w:pPr>
        <w:pStyle w:val="Heading2"/>
      </w:pPr>
      <w:r>
        <w:t>3.5 Evaluation Metrics</w:t>
      </w:r>
    </w:p>
    <w:p w14:paraId="594C4E4C" w14:textId="77777777" w:rsidR="0095249F" w:rsidRDefault="00000000">
      <w:pPr>
        <w:spacing w:before="60" w:after="60" w:line="360" w:lineRule="auto"/>
        <w:jc w:val="both"/>
      </w:pPr>
      <w:r>
        <w:t>The system is evaluated across three dimensions:</w:t>
      </w:r>
    </w:p>
    <w:p w14:paraId="5F6497A5" w14:textId="77777777" w:rsidR="0095249F" w:rsidRDefault="0095249F">
      <w:pPr>
        <w:spacing w:before="80" w:after="80"/>
      </w:pPr>
    </w:p>
    <w:p w14:paraId="311A6D35" w14:textId="77777777" w:rsidR="0095249F" w:rsidRDefault="00000000">
      <w:pPr>
        <w:spacing w:before="60" w:after="60" w:line="360" w:lineRule="auto"/>
        <w:jc w:val="both"/>
      </w:pPr>
      <w:r>
        <w:t>Classification Performance: Precision, Recall, and F1-score are computed on the 20-case evaluation set against ICD-9-grounded ground truth labels. Macro-averaged and per-class metrics are reported.</w:t>
      </w:r>
    </w:p>
    <w:p w14:paraId="5DDC630B" w14:textId="77777777" w:rsidR="0095249F" w:rsidRDefault="0095249F">
      <w:pPr>
        <w:spacing w:before="80" w:after="80"/>
      </w:pPr>
    </w:p>
    <w:p w14:paraId="6AD08033" w14:textId="77777777" w:rsidR="0095249F" w:rsidRDefault="00000000">
      <w:pPr>
        <w:spacing w:before="60" w:after="60" w:line="360" w:lineRule="auto"/>
        <w:jc w:val="both"/>
      </w:pPr>
      <w:r>
        <w:lastRenderedPageBreak/>
        <w:t>Readability and Compression: The Flesch-Kincaid Grade Level (FKGL) is computed for both the original discharge summary and the Explainability Agent output. Length reduction ratio (output tokens / input tokens) is reported to assess summarization compression.</w:t>
      </w:r>
    </w:p>
    <w:p w14:paraId="5BD3113F" w14:textId="77777777" w:rsidR="0095249F" w:rsidRDefault="0095249F">
      <w:pPr>
        <w:spacing w:before="80" w:after="80"/>
      </w:pPr>
    </w:p>
    <w:p w14:paraId="4B498D4E" w14:textId="77777777" w:rsidR="0095249F" w:rsidRDefault="00000000">
      <w:pPr>
        <w:spacing w:before="60" w:after="60" w:line="360" w:lineRule="auto"/>
        <w:jc w:val="both"/>
      </w:pPr>
      <w:r>
        <w:t>Information Fidelity: QA-based accuracy assesses whether key clinical facts (diagnoses, medications, procedures) in the original discharge summary are preserved in the generated explanation. Information coverage (proportion of ground-truth ICD codes referentially present in the output) quantifies clinical completeness relative to a single-prompt baseline system.</w:t>
      </w:r>
    </w:p>
    <w:p w14:paraId="5FBEC6FF" w14:textId="77777777" w:rsidR="0095249F" w:rsidRDefault="0095249F">
      <w:pPr>
        <w:pBdr>
          <w:bottom w:val="single" w:sz="4" w:space="1" w:color="1A3C5E"/>
        </w:pBdr>
        <w:spacing w:before="100" w:after="100"/>
      </w:pPr>
    </w:p>
    <w:p w14:paraId="34E5006D" w14:textId="77777777" w:rsidR="0095249F" w:rsidRDefault="00000000">
      <w:pPr>
        <w:pStyle w:val="Heading1"/>
      </w:pPr>
      <w:r>
        <w:t>References</w:t>
      </w:r>
    </w:p>
    <w:p w14:paraId="504E1CA1" w14:textId="77777777" w:rsidR="0095249F" w:rsidRDefault="00000000">
      <w:pPr>
        <w:pStyle w:val="ListParagraph"/>
        <w:numPr>
          <w:ilvl w:val="0"/>
          <w:numId w:val="2"/>
        </w:numPr>
        <w:spacing w:before="40" w:after="40"/>
      </w:pPr>
      <w:r>
        <w:rPr>
          <w:sz w:val="20"/>
          <w:szCs w:val="20"/>
        </w:rPr>
        <w:t xml:space="preserve">Devlin, J., Chang, M. W., Lee, K., &amp; Toutanova, K. (2018). BERT: Pre-training of deep bidirectional transformers for language understanding. </w:t>
      </w:r>
      <w:proofErr w:type="spellStart"/>
      <w:r>
        <w:rPr>
          <w:sz w:val="20"/>
          <w:szCs w:val="20"/>
        </w:rPr>
        <w:t>arXiv</w:t>
      </w:r>
      <w:proofErr w:type="spellEnd"/>
      <w:r>
        <w:rPr>
          <w:sz w:val="20"/>
          <w:szCs w:val="20"/>
        </w:rPr>
        <w:t xml:space="preserve"> preprint arXiv:1810.04805.</w:t>
      </w:r>
    </w:p>
    <w:p w14:paraId="5FAD2DD2" w14:textId="77777777" w:rsidR="0095249F" w:rsidRDefault="00000000">
      <w:pPr>
        <w:pStyle w:val="ListParagraph"/>
        <w:numPr>
          <w:ilvl w:val="0"/>
          <w:numId w:val="2"/>
        </w:numPr>
        <w:spacing w:before="40" w:after="40"/>
      </w:pPr>
      <w:r>
        <w:rPr>
          <w:sz w:val="20"/>
          <w:szCs w:val="20"/>
        </w:rPr>
        <w:t xml:space="preserve">Lee, J., Yoon, W., Kim, S., Kim, D., Kim, S., So, C. H., &amp; Kang, J. (2019). </w:t>
      </w:r>
      <w:proofErr w:type="spellStart"/>
      <w:r>
        <w:rPr>
          <w:sz w:val="20"/>
          <w:szCs w:val="20"/>
        </w:rPr>
        <w:t>BioBERT</w:t>
      </w:r>
      <w:proofErr w:type="spellEnd"/>
      <w:r>
        <w:rPr>
          <w:sz w:val="20"/>
          <w:szCs w:val="20"/>
        </w:rPr>
        <w:t>: A pre-trained biomedical language representation model for biomedical text mining. Bioinformatics, 36(4), 1234–1240.</w:t>
      </w:r>
    </w:p>
    <w:p w14:paraId="11C3A942" w14:textId="77777777" w:rsidR="0095249F" w:rsidRDefault="00000000">
      <w:pPr>
        <w:pStyle w:val="ListParagraph"/>
        <w:numPr>
          <w:ilvl w:val="0"/>
          <w:numId w:val="2"/>
        </w:numPr>
        <w:spacing w:before="40" w:after="40"/>
      </w:pPr>
      <w:proofErr w:type="spellStart"/>
      <w:r>
        <w:rPr>
          <w:sz w:val="20"/>
          <w:szCs w:val="20"/>
        </w:rPr>
        <w:t>Alsentzer</w:t>
      </w:r>
      <w:proofErr w:type="spellEnd"/>
      <w:r>
        <w:rPr>
          <w:sz w:val="20"/>
          <w:szCs w:val="20"/>
        </w:rPr>
        <w:t xml:space="preserve">, E., Murphy, J., Boag, W., Weng, W. H., Jin, D., Naumann, T., &amp; McDermott, M. (2019). Publicly available clinical BERT embeddings. </w:t>
      </w:r>
      <w:proofErr w:type="spellStart"/>
      <w:r>
        <w:rPr>
          <w:sz w:val="20"/>
          <w:szCs w:val="20"/>
        </w:rPr>
        <w:t>arXiv</w:t>
      </w:r>
      <w:proofErr w:type="spellEnd"/>
      <w:r>
        <w:rPr>
          <w:sz w:val="20"/>
          <w:szCs w:val="20"/>
        </w:rPr>
        <w:t xml:space="preserve"> preprint arXiv:1904.03323.</w:t>
      </w:r>
    </w:p>
    <w:p w14:paraId="1A4105E5" w14:textId="77777777" w:rsidR="0095249F" w:rsidRDefault="00000000">
      <w:pPr>
        <w:pStyle w:val="ListParagraph"/>
        <w:numPr>
          <w:ilvl w:val="0"/>
          <w:numId w:val="2"/>
        </w:numPr>
        <w:spacing w:before="40" w:after="40"/>
      </w:pPr>
      <w:r>
        <w:rPr>
          <w:sz w:val="20"/>
          <w:szCs w:val="20"/>
        </w:rPr>
        <w:t>Johnson, A. E., Pollard, T. J., Shen, L., Lehman, L. W. H., Feng, M., Ghassemi, M., &amp; Mark, R. G. (2016). MIMIC-III, a freely accessible critical care database. Scientific Data, 3(1), 1–9.</w:t>
      </w:r>
    </w:p>
    <w:p w14:paraId="4B8BEF84" w14:textId="77777777" w:rsidR="0095249F" w:rsidRDefault="00000000">
      <w:pPr>
        <w:pStyle w:val="ListParagraph"/>
        <w:numPr>
          <w:ilvl w:val="0"/>
          <w:numId w:val="2"/>
        </w:numPr>
        <w:spacing w:before="40" w:after="40"/>
      </w:pPr>
      <w:r>
        <w:rPr>
          <w:sz w:val="20"/>
          <w:szCs w:val="20"/>
        </w:rPr>
        <w:t xml:space="preserve">Chung, H. W., Hou, L., Longpre, S., Zoph, B., Tay, Y., Fedus, W., &amp; Wei, J. (2022). Scaling instruction-finetuned language models. </w:t>
      </w:r>
      <w:proofErr w:type="spellStart"/>
      <w:r>
        <w:rPr>
          <w:sz w:val="20"/>
          <w:szCs w:val="20"/>
        </w:rPr>
        <w:t>arXiv</w:t>
      </w:r>
      <w:proofErr w:type="spellEnd"/>
      <w:r>
        <w:rPr>
          <w:sz w:val="20"/>
          <w:szCs w:val="20"/>
        </w:rPr>
        <w:t xml:space="preserve"> preprint arXiv:2210.11416.</w:t>
      </w:r>
    </w:p>
    <w:p w14:paraId="5270862D" w14:textId="77777777" w:rsidR="0095249F" w:rsidRDefault="00000000">
      <w:pPr>
        <w:pStyle w:val="ListParagraph"/>
        <w:numPr>
          <w:ilvl w:val="0"/>
          <w:numId w:val="2"/>
        </w:numPr>
        <w:spacing w:before="40" w:after="40"/>
      </w:pPr>
      <w:r>
        <w:rPr>
          <w:sz w:val="20"/>
          <w:szCs w:val="20"/>
        </w:rPr>
        <w:t>Wei, J., Wang, X., Schuurmans, D., Bosma, M., Chi, E. H., Le, Q., &amp; Zhou, D. (2022). Chain-of-thought prompting elicits reasoning in large language models. Advances in Neural Information Processing Systems, 35, 24824–24837.</w:t>
      </w:r>
    </w:p>
    <w:p w14:paraId="41D8436A" w14:textId="77777777" w:rsidR="0095249F" w:rsidRDefault="00000000">
      <w:pPr>
        <w:pStyle w:val="ListParagraph"/>
        <w:numPr>
          <w:ilvl w:val="0"/>
          <w:numId w:val="2"/>
        </w:numPr>
        <w:spacing w:before="40" w:after="40"/>
      </w:pPr>
      <w:r>
        <w:rPr>
          <w:sz w:val="20"/>
          <w:szCs w:val="20"/>
        </w:rPr>
        <w:t xml:space="preserve">Singhal, K., Tu, T., </w:t>
      </w:r>
      <w:proofErr w:type="spellStart"/>
      <w:r>
        <w:rPr>
          <w:sz w:val="20"/>
          <w:szCs w:val="20"/>
        </w:rPr>
        <w:t>Gottweis</w:t>
      </w:r>
      <w:proofErr w:type="spellEnd"/>
      <w:r>
        <w:rPr>
          <w:sz w:val="20"/>
          <w:szCs w:val="20"/>
        </w:rPr>
        <w:t xml:space="preserve">, J., Sayres, R., </w:t>
      </w:r>
      <w:proofErr w:type="spellStart"/>
      <w:r>
        <w:rPr>
          <w:sz w:val="20"/>
          <w:szCs w:val="20"/>
        </w:rPr>
        <w:t>Wulczyn</w:t>
      </w:r>
      <w:proofErr w:type="spellEnd"/>
      <w:r>
        <w:rPr>
          <w:sz w:val="20"/>
          <w:szCs w:val="20"/>
        </w:rPr>
        <w:t xml:space="preserve">, E., Hou, L., &amp; Natarajan, V. (2023). Towards expert-level medical question answering with large language models. </w:t>
      </w:r>
      <w:proofErr w:type="spellStart"/>
      <w:r>
        <w:rPr>
          <w:sz w:val="20"/>
          <w:szCs w:val="20"/>
        </w:rPr>
        <w:t>arXiv</w:t>
      </w:r>
      <w:proofErr w:type="spellEnd"/>
      <w:r>
        <w:rPr>
          <w:sz w:val="20"/>
          <w:szCs w:val="20"/>
        </w:rPr>
        <w:t xml:space="preserve"> preprint arXiv:2305.09617.</w:t>
      </w:r>
    </w:p>
    <w:p w14:paraId="209F15E6" w14:textId="77777777" w:rsidR="0095249F" w:rsidRDefault="00000000">
      <w:pPr>
        <w:pStyle w:val="ListParagraph"/>
        <w:numPr>
          <w:ilvl w:val="0"/>
          <w:numId w:val="2"/>
        </w:numPr>
        <w:spacing w:before="40" w:after="40"/>
      </w:pPr>
      <w:r>
        <w:rPr>
          <w:sz w:val="20"/>
          <w:szCs w:val="20"/>
        </w:rPr>
        <w:t xml:space="preserve">Park, J. S., O’Brien, J. C., Cai, C. J., Morris, M. R., Liang, P., &amp; Bernstein, M. S. (2023). Generative agents: Interactive simulacra of human </w:t>
      </w:r>
      <w:proofErr w:type="spellStart"/>
      <w:r>
        <w:rPr>
          <w:sz w:val="20"/>
          <w:szCs w:val="20"/>
        </w:rPr>
        <w:t>behavior</w:t>
      </w:r>
      <w:proofErr w:type="spellEnd"/>
      <w:r>
        <w:rPr>
          <w:sz w:val="20"/>
          <w:szCs w:val="20"/>
        </w:rPr>
        <w:t>. In Proceedings of the 36th Annual ACM Symposium on User Interface Software and Technology (UIST ’23).</w:t>
      </w:r>
    </w:p>
    <w:p w14:paraId="1217CA9C" w14:textId="77777777" w:rsidR="0095249F" w:rsidRDefault="00000000">
      <w:pPr>
        <w:pStyle w:val="ListParagraph"/>
        <w:numPr>
          <w:ilvl w:val="0"/>
          <w:numId w:val="2"/>
        </w:numPr>
        <w:spacing w:before="40" w:after="40"/>
      </w:pPr>
      <w:r>
        <w:rPr>
          <w:sz w:val="20"/>
          <w:szCs w:val="20"/>
        </w:rPr>
        <w:t>Topol, E. J. (2019). High-performance medicine: The convergence of human and artificial intelligence. Nature Medicine, 25(1), 44–56.</w:t>
      </w:r>
    </w:p>
    <w:p w14:paraId="35C48309" w14:textId="77777777" w:rsidR="0095249F" w:rsidRDefault="00000000">
      <w:pPr>
        <w:pStyle w:val="ListParagraph"/>
        <w:numPr>
          <w:ilvl w:val="0"/>
          <w:numId w:val="2"/>
        </w:numPr>
        <w:spacing w:before="40" w:after="40"/>
      </w:pPr>
      <w:proofErr w:type="spellStart"/>
      <w:r>
        <w:rPr>
          <w:sz w:val="20"/>
          <w:szCs w:val="20"/>
        </w:rPr>
        <w:t>Meskó</w:t>
      </w:r>
      <w:proofErr w:type="spellEnd"/>
      <w:r>
        <w:rPr>
          <w:sz w:val="20"/>
          <w:szCs w:val="20"/>
        </w:rPr>
        <w:t xml:space="preserve">, B., &amp; Topol, E. J. (2023). The imperative for regulatory oversight of large language models (or generative AI) in healthcare. </w:t>
      </w:r>
      <w:proofErr w:type="spellStart"/>
      <w:r>
        <w:rPr>
          <w:sz w:val="20"/>
          <w:szCs w:val="20"/>
        </w:rPr>
        <w:t>npj</w:t>
      </w:r>
      <w:proofErr w:type="spellEnd"/>
      <w:r>
        <w:rPr>
          <w:sz w:val="20"/>
          <w:szCs w:val="20"/>
        </w:rPr>
        <w:t xml:space="preserve"> Digital Medicine, 6(1), 120.</w:t>
      </w:r>
    </w:p>
    <w:p w14:paraId="4EE3CB3B" w14:textId="77777777" w:rsidR="0095249F" w:rsidRDefault="00000000">
      <w:pPr>
        <w:pStyle w:val="ListParagraph"/>
        <w:numPr>
          <w:ilvl w:val="0"/>
          <w:numId w:val="2"/>
        </w:numPr>
        <w:spacing w:before="40" w:after="40"/>
      </w:pPr>
      <w:r>
        <w:rPr>
          <w:sz w:val="20"/>
          <w:szCs w:val="20"/>
        </w:rPr>
        <w:t>Lundberg, S. M., &amp; Lee, S. I. (2017). A unified approach to interpreting model predictions. Advances in Neural Information Processing Systems, 30.</w:t>
      </w:r>
    </w:p>
    <w:p w14:paraId="13F883E8" w14:textId="77777777" w:rsidR="0095249F" w:rsidRDefault="00000000">
      <w:pPr>
        <w:pStyle w:val="ListParagraph"/>
        <w:numPr>
          <w:ilvl w:val="0"/>
          <w:numId w:val="2"/>
        </w:numPr>
        <w:spacing w:before="40" w:after="40"/>
      </w:pPr>
      <w:proofErr w:type="spellStart"/>
      <w:r>
        <w:rPr>
          <w:sz w:val="20"/>
          <w:szCs w:val="20"/>
        </w:rPr>
        <w:t>Camburu</w:t>
      </w:r>
      <w:proofErr w:type="spellEnd"/>
      <w:r>
        <w:rPr>
          <w:sz w:val="20"/>
          <w:szCs w:val="20"/>
        </w:rPr>
        <w:t xml:space="preserve">, O. M., </w:t>
      </w:r>
      <w:proofErr w:type="spellStart"/>
      <w:r>
        <w:rPr>
          <w:sz w:val="20"/>
          <w:szCs w:val="20"/>
        </w:rPr>
        <w:t>Rocktäschel</w:t>
      </w:r>
      <w:proofErr w:type="spellEnd"/>
      <w:r>
        <w:rPr>
          <w:sz w:val="20"/>
          <w:szCs w:val="20"/>
        </w:rPr>
        <w:t xml:space="preserve">, T., Lukasiewicz, T., &amp; </w:t>
      </w:r>
      <w:proofErr w:type="spellStart"/>
      <w:r>
        <w:rPr>
          <w:sz w:val="20"/>
          <w:szCs w:val="20"/>
        </w:rPr>
        <w:t>Blunsom</w:t>
      </w:r>
      <w:proofErr w:type="spellEnd"/>
      <w:r>
        <w:rPr>
          <w:sz w:val="20"/>
          <w:szCs w:val="20"/>
        </w:rPr>
        <w:t>, P. (2018). e-SNLI: Natural language inference with natural language explanations. Advances in Neural Information Processing Systems, 31.</w:t>
      </w:r>
    </w:p>
    <w:p w14:paraId="3FE91D38" w14:textId="77777777" w:rsidR="0095249F" w:rsidRDefault="00000000">
      <w:pPr>
        <w:pStyle w:val="ListParagraph"/>
        <w:numPr>
          <w:ilvl w:val="0"/>
          <w:numId w:val="2"/>
        </w:numPr>
        <w:spacing w:before="40" w:after="40"/>
      </w:pPr>
      <w:r>
        <w:rPr>
          <w:sz w:val="20"/>
          <w:szCs w:val="20"/>
        </w:rPr>
        <w:t xml:space="preserve">Peng, C., Yang, X., Chen, A., Smith, K. E., </w:t>
      </w:r>
      <w:proofErr w:type="spellStart"/>
      <w:r>
        <w:rPr>
          <w:sz w:val="20"/>
          <w:szCs w:val="20"/>
        </w:rPr>
        <w:t>PourNejatian</w:t>
      </w:r>
      <w:proofErr w:type="spellEnd"/>
      <w:r>
        <w:rPr>
          <w:sz w:val="20"/>
          <w:szCs w:val="20"/>
        </w:rPr>
        <w:t xml:space="preserve">, N., Costa, A. B., ... &amp; Bian, J. (2023). A study of generative large language model for medical research and healthcare. </w:t>
      </w:r>
      <w:proofErr w:type="spellStart"/>
      <w:r>
        <w:rPr>
          <w:sz w:val="20"/>
          <w:szCs w:val="20"/>
        </w:rPr>
        <w:t>npj</w:t>
      </w:r>
      <w:proofErr w:type="spellEnd"/>
      <w:r>
        <w:rPr>
          <w:sz w:val="20"/>
          <w:szCs w:val="20"/>
        </w:rPr>
        <w:t xml:space="preserve"> Digital Medicine, 6(1), 210.</w:t>
      </w:r>
    </w:p>
    <w:p w14:paraId="6D12C130" w14:textId="77777777" w:rsidR="0095249F" w:rsidRDefault="00000000">
      <w:pPr>
        <w:pStyle w:val="ListParagraph"/>
        <w:numPr>
          <w:ilvl w:val="0"/>
          <w:numId w:val="2"/>
        </w:numPr>
        <w:spacing w:before="40" w:after="40"/>
      </w:pPr>
      <w:r>
        <w:rPr>
          <w:sz w:val="20"/>
          <w:szCs w:val="20"/>
        </w:rPr>
        <w:t>Guo, T., Dai, Z., Yao, Z., &amp; Cheng, Y. (2021). Automated radiology report summarization using a transformer model. Journal of the American Medical Informatics Association, 28(5), 1051–1058.</w:t>
      </w:r>
    </w:p>
    <w:p w14:paraId="038A3219" w14:textId="77777777" w:rsidR="0095249F" w:rsidRDefault="00000000">
      <w:pPr>
        <w:pStyle w:val="ListParagraph"/>
        <w:numPr>
          <w:ilvl w:val="0"/>
          <w:numId w:val="2"/>
        </w:numPr>
        <w:spacing w:before="40" w:after="40"/>
      </w:pPr>
      <w:r>
        <w:rPr>
          <w:sz w:val="20"/>
          <w:szCs w:val="20"/>
        </w:rPr>
        <w:lastRenderedPageBreak/>
        <w:t>Krishna, K., Khosla, D., Bigham, J. P., &amp; Lipton, Z. C. (2021). Generating SOAP notes from doctor-patient conversations using modular summarization techniques. In Proceedings of the 59th Annual Meeting of the Association for Computational Linguistics (ACL 2021).</w:t>
      </w:r>
    </w:p>
    <w:p w14:paraId="67B08CAC" w14:textId="77777777" w:rsidR="0095249F" w:rsidRDefault="00000000">
      <w:pPr>
        <w:pStyle w:val="ListParagraph"/>
        <w:numPr>
          <w:ilvl w:val="0"/>
          <w:numId w:val="2"/>
        </w:numPr>
        <w:spacing w:before="40" w:after="40"/>
      </w:pPr>
      <w:r>
        <w:rPr>
          <w:sz w:val="20"/>
          <w:szCs w:val="20"/>
        </w:rPr>
        <w:t xml:space="preserve">Jain, S., &amp; Wallace, B. C. (2019). Attention is not explanation. </w:t>
      </w:r>
      <w:proofErr w:type="spellStart"/>
      <w:r>
        <w:rPr>
          <w:sz w:val="20"/>
          <w:szCs w:val="20"/>
        </w:rPr>
        <w:t>arXiv</w:t>
      </w:r>
      <w:proofErr w:type="spellEnd"/>
      <w:r>
        <w:rPr>
          <w:sz w:val="20"/>
          <w:szCs w:val="20"/>
        </w:rPr>
        <w:t xml:space="preserve"> preprint arXiv:1902.10186.</w:t>
      </w:r>
    </w:p>
    <w:p w14:paraId="7B118709" w14:textId="77777777" w:rsidR="0095249F" w:rsidRDefault="00000000">
      <w:pPr>
        <w:pStyle w:val="ListParagraph"/>
        <w:numPr>
          <w:ilvl w:val="0"/>
          <w:numId w:val="2"/>
        </w:numPr>
        <w:spacing w:before="40" w:after="40"/>
      </w:pPr>
      <w:r>
        <w:rPr>
          <w:sz w:val="20"/>
          <w:szCs w:val="20"/>
        </w:rPr>
        <w:t xml:space="preserve">Hong, S., Zhuge, M., Chen, J., Zheng, X., Cheng, Y., Zhang, C., ... &amp; Wu, C. (2023). </w:t>
      </w:r>
      <w:proofErr w:type="spellStart"/>
      <w:r>
        <w:rPr>
          <w:sz w:val="20"/>
          <w:szCs w:val="20"/>
        </w:rPr>
        <w:t>MetaGPT</w:t>
      </w:r>
      <w:proofErr w:type="spellEnd"/>
      <w:r>
        <w:rPr>
          <w:sz w:val="20"/>
          <w:szCs w:val="20"/>
        </w:rPr>
        <w:t xml:space="preserve">: Meta programming for a multi-agent collaborative framework. </w:t>
      </w:r>
      <w:proofErr w:type="spellStart"/>
      <w:r>
        <w:rPr>
          <w:sz w:val="20"/>
          <w:szCs w:val="20"/>
        </w:rPr>
        <w:t>arXiv</w:t>
      </w:r>
      <w:proofErr w:type="spellEnd"/>
      <w:r>
        <w:rPr>
          <w:sz w:val="20"/>
          <w:szCs w:val="20"/>
        </w:rPr>
        <w:t xml:space="preserve"> preprint arXiv:2308.00352.</w:t>
      </w:r>
    </w:p>
    <w:p w14:paraId="6A765B54" w14:textId="77777777" w:rsidR="0095249F" w:rsidRDefault="0095249F">
      <w:pPr>
        <w:spacing w:before="80" w:after="80"/>
      </w:pPr>
    </w:p>
    <w:p w14:paraId="599A977B" w14:textId="77777777" w:rsidR="0095249F" w:rsidRDefault="0095249F">
      <w:pPr>
        <w:spacing w:before="80" w:after="80"/>
      </w:pPr>
    </w:p>
    <w:p w14:paraId="1AB22E17" w14:textId="77777777" w:rsidR="0095249F" w:rsidRDefault="00000000">
      <w:pPr>
        <w:spacing w:before="200"/>
        <w:jc w:val="center"/>
      </w:pPr>
      <w:r>
        <w:rPr>
          <w:rFonts w:ascii="Arial" w:eastAsia="Arial" w:hAnsi="Arial" w:cs="Arial"/>
          <w:i/>
          <w:iCs/>
          <w:color w:val="888888"/>
          <w:sz w:val="18"/>
          <w:szCs w:val="18"/>
        </w:rPr>
        <w:t>— End of Document —</w:t>
      </w:r>
    </w:p>
    <w:sectPr w:rsidR="0095249F">
      <w:footerReference w:type="default" r:id="rId7"/>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214CF9" w14:textId="77777777" w:rsidR="00A501A0" w:rsidRDefault="00A501A0">
      <w:r>
        <w:separator/>
      </w:r>
    </w:p>
  </w:endnote>
  <w:endnote w:type="continuationSeparator" w:id="0">
    <w:p w14:paraId="6C09A717" w14:textId="77777777" w:rsidR="00A501A0" w:rsidRDefault="00A501A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14931D" w14:textId="77777777" w:rsidR="0095249F" w:rsidRDefault="00000000">
    <w:pPr>
      <w:jc w:val="center"/>
    </w:pPr>
    <w:r>
      <w:rPr>
        <w:rFonts w:ascii="Arial" w:eastAsia="Arial" w:hAnsi="Arial" w:cs="Arial"/>
        <w:color w:val="666666"/>
        <w:sz w:val="18"/>
        <w:szCs w:val="18"/>
      </w:rPr>
      <w:t>International Journal of Artificial Intelligence in Healthcare | Draft Submission 2025-26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73E271" w14:textId="77777777" w:rsidR="00A501A0" w:rsidRDefault="00A501A0">
      <w:r>
        <w:separator/>
      </w:r>
    </w:p>
  </w:footnote>
  <w:footnote w:type="continuationSeparator" w:id="0">
    <w:p w14:paraId="5F65FFA1" w14:textId="77777777" w:rsidR="00A501A0" w:rsidRDefault="00A501A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826E4B"/>
    <w:multiLevelType w:val="hybridMultilevel"/>
    <w:tmpl w:val="0FBAD596"/>
    <w:lvl w:ilvl="0" w:tplc="690A254A">
      <w:start w:val="1"/>
      <w:numFmt w:val="bullet"/>
      <w:lvlText w:val="•"/>
      <w:lvlJc w:val="left"/>
      <w:pPr>
        <w:ind w:left="720" w:hanging="360"/>
      </w:pPr>
    </w:lvl>
    <w:lvl w:ilvl="1" w:tplc="D0C8331C">
      <w:numFmt w:val="decimal"/>
      <w:lvlText w:val=""/>
      <w:lvlJc w:val="left"/>
    </w:lvl>
    <w:lvl w:ilvl="2" w:tplc="0C1874F2">
      <w:numFmt w:val="decimal"/>
      <w:lvlText w:val=""/>
      <w:lvlJc w:val="left"/>
    </w:lvl>
    <w:lvl w:ilvl="3" w:tplc="CDDABD7E">
      <w:numFmt w:val="decimal"/>
      <w:lvlText w:val=""/>
      <w:lvlJc w:val="left"/>
    </w:lvl>
    <w:lvl w:ilvl="4" w:tplc="4622DB56">
      <w:numFmt w:val="decimal"/>
      <w:lvlText w:val=""/>
      <w:lvlJc w:val="left"/>
    </w:lvl>
    <w:lvl w:ilvl="5" w:tplc="F45C19EC">
      <w:numFmt w:val="decimal"/>
      <w:lvlText w:val=""/>
      <w:lvlJc w:val="left"/>
    </w:lvl>
    <w:lvl w:ilvl="6" w:tplc="B39E306E">
      <w:numFmt w:val="decimal"/>
      <w:lvlText w:val=""/>
      <w:lvlJc w:val="left"/>
    </w:lvl>
    <w:lvl w:ilvl="7" w:tplc="552ABEBC">
      <w:numFmt w:val="decimal"/>
      <w:lvlText w:val=""/>
      <w:lvlJc w:val="left"/>
    </w:lvl>
    <w:lvl w:ilvl="8" w:tplc="B8E6F95C">
      <w:numFmt w:val="decimal"/>
      <w:lvlText w:val=""/>
      <w:lvlJc w:val="left"/>
    </w:lvl>
  </w:abstractNum>
  <w:abstractNum w:abstractNumId="1" w15:restartNumberingAfterBreak="0">
    <w:nsid w:val="5D787D1E"/>
    <w:multiLevelType w:val="hybridMultilevel"/>
    <w:tmpl w:val="77C0739C"/>
    <w:lvl w:ilvl="0" w:tplc="9C6A1BEC">
      <w:start w:val="1"/>
      <w:numFmt w:val="decimal"/>
      <w:lvlText w:val="[%1]"/>
      <w:lvlJc w:val="left"/>
      <w:pPr>
        <w:ind w:left="720" w:hanging="360"/>
      </w:pPr>
    </w:lvl>
    <w:lvl w:ilvl="1" w:tplc="757EF66C">
      <w:numFmt w:val="decimal"/>
      <w:lvlText w:val=""/>
      <w:lvlJc w:val="left"/>
    </w:lvl>
    <w:lvl w:ilvl="2" w:tplc="1FE63A82">
      <w:numFmt w:val="decimal"/>
      <w:lvlText w:val=""/>
      <w:lvlJc w:val="left"/>
    </w:lvl>
    <w:lvl w:ilvl="3" w:tplc="E880F4EE">
      <w:numFmt w:val="decimal"/>
      <w:lvlText w:val=""/>
      <w:lvlJc w:val="left"/>
    </w:lvl>
    <w:lvl w:ilvl="4" w:tplc="EA348DFE">
      <w:numFmt w:val="decimal"/>
      <w:lvlText w:val=""/>
      <w:lvlJc w:val="left"/>
    </w:lvl>
    <w:lvl w:ilvl="5" w:tplc="F54AD836">
      <w:numFmt w:val="decimal"/>
      <w:lvlText w:val=""/>
      <w:lvlJc w:val="left"/>
    </w:lvl>
    <w:lvl w:ilvl="6" w:tplc="29EA3B5C">
      <w:numFmt w:val="decimal"/>
      <w:lvlText w:val=""/>
      <w:lvlJc w:val="left"/>
    </w:lvl>
    <w:lvl w:ilvl="7" w:tplc="8BAE2D1E">
      <w:numFmt w:val="decimal"/>
      <w:lvlText w:val=""/>
      <w:lvlJc w:val="left"/>
    </w:lvl>
    <w:lvl w:ilvl="8" w:tplc="5EFC47CE">
      <w:numFmt w:val="decimal"/>
      <w:lvlText w:val=""/>
      <w:lvlJc w:val="left"/>
    </w:lvl>
  </w:abstractNum>
  <w:abstractNum w:abstractNumId="2" w15:restartNumberingAfterBreak="0">
    <w:nsid w:val="5FFF123C"/>
    <w:multiLevelType w:val="hybridMultilevel"/>
    <w:tmpl w:val="B88AFCA2"/>
    <w:lvl w:ilvl="0" w:tplc="5CB6295E">
      <w:start w:val="1"/>
      <w:numFmt w:val="bullet"/>
      <w:lvlText w:val="●"/>
      <w:lvlJc w:val="left"/>
      <w:pPr>
        <w:ind w:left="720" w:hanging="360"/>
      </w:pPr>
    </w:lvl>
    <w:lvl w:ilvl="1" w:tplc="74880A18">
      <w:start w:val="1"/>
      <w:numFmt w:val="bullet"/>
      <w:lvlText w:val="○"/>
      <w:lvlJc w:val="left"/>
      <w:pPr>
        <w:ind w:left="1440" w:hanging="360"/>
      </w:pPr>
    </w:lvl>
    <w:lvl w:ilvl="2" w:tplc="800847A8">
      <w:start w:val="1"/>
      <w:numFmt w:val="bullet"/>
      <w:lvlText w:val="■"/>
      <w:lvlJc w:val="left"/>
      <w:pPr>
        <w:ind w:left="2160" w:hanging="360"/>
      </w:pPr>
    </w:lvl>
    <w:lvl w:ilvl="3" w:tplc="48A8DE34">
      <w:start w:val="1"/>
      <w:numFmt w:val="bullet"/>
      <w:lvlText w:val="●"/>
      <w:lvlJc w:val="left"/>
      <w:pPr>
        <w:ind w:left="2880" w:hanging="360"/>
      </w:pPr>
    </w:lvl>
    <w:lvl w:ilvl="4" w:tplc="FC864486">
      <w:start w:val="1"/>
      <w:numFmt w:val="bullet"/>
      <w:lvlText w:val="○"/>
      <w:lvlJc w:val="left"/>
      <w:pPr>
        <w:ind w:left="3600" w:hanging="360"/>
      </w:pPr>
    </w:lvl>
    <w:lvl w:ilvl="5" w:tplc="3DDEFB06">
      <w:start w:val="1"/>
      <w:numFmt w:val="bullet"/>
      <w:lvlText w:val="■"/>
      <w:lvlJc w:val="left"/>
      <w:pPr>
        <w:ind w:left="4320" w:hanging="360"/>
      </w:pPr>
    </w:lvl>
    <w:lvl w:ilvl="6" w:tplc="D08E8BF6">
      <w:start w:val="1"/>
      <w:numFmt w:val="bullet"/>
      <w:lvlText w:val="●"/>
      <w:lvlJc w:val="left"/>
      <w:pPr>
        <w:ind w:left="5040" w:hanging="360"/>
      </w:pPr>
    </w:lvl>
    <w:lvl w:ilvl="7" w:tplc="F3C46EF6">
      <w:start w:val="1"/>
      <w:numFmt w:val="bullet"/>
      <w:lvlText w:val="●"/>
      <w:lvlJc w:val="left"/>
      <w:pPr>
        <w:ind w:left="5760" w:hanging="360"/>
      </w:pPr>
    </w:lvl>
    <w:lvl w:ilvl="8" w:tplc="6128ABAA">
      <w:start w:val="1"/>
      <w:numFmt w:val="bullet"/>
      <w:lvlText w:val="●"/>
      <w:lvlJc w:val="left"/>
      <w:pPr>
        <w:ind w:left="6480" w:hanging="360"/>
      </w:pPr>
    </w:lvl>
  </w:abstractNum>
  <w:num w:numId="1" w16cid:durableId="2005160887">
    <w:abstractNumId w:val="2"/>
    <w:lvlOverride w:ilvl="0">
      <w:startOverride w:val="1"/>
    </w:lvlOverride>
  </w:num>
  <w:num w:numId="2" w16cid:durableId="27598907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5249F"/>
    <w:rsid w:val="00947137"/>
    <w:rsid w:val="0095249F"/>
    <w:rsid w:val="00A501A0"/>
    <w:rsid w:val="00D7711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621548"/>
  <w15:docId w15:val="{7A35E9AD-9D94-4709-ACE3-A1D37F41AA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20"/>
      <w:outlineLvl w:val="0"/>
    </w:pPr>
    <w:rPr>
      <w:rFonts w:ascii="Arial" w:eastAsia="Arial" w:hAnsi="Arial" w:cs="Arial"/>
      <w:b/>
      <w:bCs/>
      <w:color w:val="1A3C5E"/>
      <w:sz w:val="28"/>
      <w:szCs w:val="28"/>
    </w:rPr>
  </w:style>
  <w:style w:type="paragraph" w:styleId="Heading2">
    <w:name w:val="heading 2"/>
    <w:uiPriority w:val="9"/>
    <w:unhideWhenUsed/>
    <w:qFormat/>
    <w:pPr>
      <w:spacing w:before="200" w:after="80"/>
      <w:outlineLvl w:val="1"/>
    </w:pPr>
    <w:rPr>
      <w:rFonts w:ascii="Arial" w:eastAsia="Arial" w:hAnsi="Arial" w:cs="Arial"/>
      <w:b/>
      <w:bCs/>
      <w:color w:val="1A3C5E"/>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8</Pages>
  <Words>2882</Words>
  <Characters>16433</Characters>
  <Application>Microsoft Office Word</Application>
  <DocSecurity>0</DocSecurity>
  <Lines>136</Lines>
  <Paragraphs>38</Paragraphs>
  <ScaleCrop>false</ScaleCrop>
  <Company/>
  <LinksUpToDate>false</LinksUpToDate>
  <CharactersWithSpaces>19277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Segu Venkata Chiranjeevi [AV.EN.U4AIE22036]</cp:lastModifiedBy>
  <cp:revision>2</cp:revision>
  <dcterms:created xsi:type="dcterms:W3CDTF">2026-02-27T19:39:00Z</dcterms:created>
  <dcterms:modified xsi:type="dcterms:W3CDTF">2026-02-27T19:39:00Z</dcterms:modified>
</cp:coreProperties>
</file>