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5B5FE6"/>
          <w:sz w:val="72"/>
          <w:szCs w:val="72"/>
        </w:rPr>
        <w:t xml:space="preserve">MindGuard</w:t>
      </w:r>
    </w:p>
    <w:p>
      <w:pPr>
        <w:spacing w:after="800"/>
        <w:jc w:val="center"/>
      </w:pPr>
      <w:r>
        <w:rPr>
          <w:i/>
          <w:iCs/>
          <w:sz w:val="28"/>
          <w:szCs w:val="28"/>
        </w:rPr>
        <w:t xml:space="preserve">Aplicație mobilă accesibilă pentru gestionarea anxietății la copii cu dizabilități</w:t>
      </w:r>
    </w:p>
    <w:p>
      <w:pPr>
        <w:spacing w:after="200"/>
        <w:jc w:val="center"/>
      </w:pPr>
      <w:r>
        <w:rPr>
          <w:b/>
          <w:bCs/>
          <w:sz w:val="36"/>
          <w:szCs w:val="36"/>
        </w:rPr>
        <w:t xml:space="preserve">Analiza Pieței</w:t>
      </w:r>
    </w:p>
    <w:p>
      <w:pPr>
        <w:spacing w:after="1200"/>
        <w:jc w:val="center"/>
      </w:pPr>
      <w:r>
        <w:rPr>
          <w:sz w:val="24"/>
          <w:szCs w:val="24"/>
        </w:rPr>
        <w:t xml:space="preserve">Concursul InfoEducația — Secțiunea Software Utilitar</w:t>
      </w:r>
    </w:p>
    <w:p>
      <w:pPr>
        <w:spacing w:after="100"/>
        <w:jc w:val="center"/>
      </w:pPr>
      <w:r>
        <w:rPr>
          <w:b/>
          <w:bCs/>
          <w:sz w:val="26"/>
          <w:szCs w:val="26"/>
        </w:rPr>
        <w:t xml:space="preserve">Autori:</w:t>
      </w:r>
    </w:p>
    <w:p>
      <w:pPr>
        <w:spacing w:after="80"/>
        <w:jc w:val="center"/>
      </w:pPr>
      <w:r>
        <w:rPr>
          <w:sz w:val="24"/>
          <w:szCs w:val="24"/>
        </w:rPr>
        <w:t xml:space="preserve">Chirilus Anastasia</w:t>
      </w:r>
    </w:p>
    <w:p>
      <w:pPr>
        <w:spacing w:after="400"/>
        <w:jc w:val="center"/>
      </w:pPr>
      <w:r>
        <w:rPr>
          <w:sz w:val="24"/>
          <w:szCs w:val="24"/>
        </w:rPr>
        <w:t xml:space="preserve">Vatamaniuc Karina</w:t>
      </w:r>
    </w:p>
    <w:p>
      <w:pPr>
        <w:spacing w:after="100"/>
        <w:jc w:val="center"/>
      </w:pPr>
      <w:r>
        <w:rPr>
          <w:sz w:val="22"/>
          <w:szCs w:val="22"/>
        </w:rPr>
        <w:t xml:space="preserve">Clasa a XI-a</w:t>
      </w:r>
    </w:p>
    <w:p>
      <w:pPr>
        <w:spacing w:after="100"/>
        <w:jc w:val="center"/>
      </w:pPr>
      <w:r>
        <w:rPr>
          <w:sz w:val="22"/>
          <w:szCs w:val="22"/>
        </w:rPr>
        <w:t xml:space="preserve">Mai 2026</w:t>
      </w:r>
    </w:p>
    <w:p>
      <w:r>
        <w:br w:type="page"/>
      </w:r>
    </w:p>
    <w:p>
      <w:pPr>
        <w:pStyle w:val="Heading1"/>
        <w:spacing w:after="200" w:before="360"/>
      </w:pPr>
      <w:r>
        <w:t xml:space="preserve">1. Context și motivație</w:t>
      </w:r>
    </w:p>
    <w:p>
      <w:pPr>
        <w:spacing w:after="80" w:before="80"/>
        <w:jc w:val="both"/>
      </w:pPr>
      <w:r>
        <w:rPr>
          <w:sz w:val="22"/>
          <w:szCs w:val="22"/>
        </w:rPr>
        <w:t xml:space="preserve">Înainte de a începe dezvoltarea aplicației MindGuard, am realizat o analiză detaliată a pieței aplicațiilor de wellness mental, cu accent pe segmentul copiilor și pe gradul de accesibilitate al acestora pentru utilizatorii cu dizabilități. Această analiză a fost esențială pentru a confirma că proiectul nostru nu este o simplă re-implementare a unei soluții existente, ci aduce o contribuție originală în acest domeniu.</w:t>
      </w:r>
    </w:p>
    <w:p>
      <w:pPr>
        <w:spacing w:after="80" w:before="80"/>
        <w:jc w:val="both"/>
      </w:pPr>
      <w:r>
        <w:rPr>
          <w:sz w:val="22"/>
          <w:szCs w:val="22"/>
        </w:rPr>
        <w:t xml:space="preserve">Datele prezentate în această analiză au fost colectate prin cercetare directă pe site-urile oficiale ale aplicațiilor concurente, prin consultarea recenziilor utilizatorilor de pe Google Play Store și App Store, precum și prin discuții cu profesioniști din domeniul sănătății mintale și al accesibilității.</w:t>
      </w:r>
    </w:p>
    <w:p>
      <w:pPr>
        <w:pStyle w:val="Heading1"/>
        <w:spacing w:after="200" w:before="360"/>
      </w:pPr>
      <w:r>
        <w:t xml:space="preserve">2. Aplicațiile concurente identificate</w:t>
      </w:r>
    </w:p>
    <w:p>
      <w:pPr>
        <w:spacing w:after="80" w:before="80"/>
        <w:jc w:val="both"/>
      </w:pPr>
      <w:r>
        <w:rPr>
          <w:sz w:val="22"/>
          <w:szCs w:val="22"/>
        </w:rPr>
        <w:t xml:space="preserve">Am identificat patru aplicații principale care abordează tema sănătății mintale și pe care le considerăm relevante ca termen de comparație:</w:t>
      </w:r>
    </w:p>
    <w:p>
      <w:pPr>
        <w:pStyle w:val="Heading3"/>
        <w:spacing w:after="120" w:before="200"/>
      </w:pPr>
      <w:r>
        <w:t xml:space="preserve">Calm</w:t>
      </w:r>
    </w:p>
    <w:p>
      <w:pPr>
        <w:spacing w:after="80" w:before="80"/>
        <w:jc w:val="both"/>
      </w:pPr>
      <w:r>
        <w:rPr>
          <w:sz w:val="22"/>
          <w:szCs w:val="22"/>
        </w:rPr>
        <w:t xml:space="preserve">Una dintre cele mai populare aplicații de meditație și relaxare la nivel mondial, cu peste 100 milioane de descărcări. Oferă conținut audio (meditații ghidate, povești pentru somn, muzică ambientală) și cere abonament lunar.</w:t>
      </w:r>
    </w:p>
    <w:p>
      <w:pPr>
        <w:pStyle w:val="Heading3"/>
        <w:spacing w:after="120" w:before="200"/>
      </w:pPr>
      <w:r>
        <w:t xml:space="preserve">Headspace</w:t>
      </w:r>
    </w:p>
    <w:p>
      <w:pPr>
        <w:spacing w:after="80" w:before="80"/>
        <w:jc w:val="both"/>
      </w:pPr>
      <w:r>
        <w:rPr>
          <w:sz w:val="22"/>
          <w:szCs w:val="22"/>
        </w:rPr>
        <w:t xml:space="preserve">Aplicație populară de mindfulness și meditație, cu o secțiune dedicată copiilor („Headspace for Kids”). Modelul este similar cu Calm — bazat pe conținut audio și abonamente.</w:t>
      </w:r>
    </w:p>
    <w:p>
      <w:pPr>
        <w:pStyle w:val="Heading3"/>
        <w:spacing w:after="120" w:before="200"/>
      </w:pPr>
      <w:r>
        <w:t xml:space="preserve">Wysa</w:t>
      </w:r>
    </w:p>
    <w:p>
      <w:pPr>
        <w:spacing w:after="80" w:before="80"/>
        <w:jc w:val="both"/>
      </w:pPr>
      <w:r>
        <w:rPr>
          <w:sz w:val="22"/>
          <w:szCs w:val="22"/>
        </w:rPr>
        <w:t xml:space="preserve">Aplicație care folosește un chatbot AI pentru a oferi sprijin emoțional. Are o variantă dedicată pentru adolescenți („Wysa for Children and Young People”), dar conform termenilor și condițiilor oficiali, aplicația nu este destinată copiilor sub 13 ani.</w:t>
      </w:r>
    </w:p>
    <w:p>
      <w:pPr>
        <w:pStyle w:val="Heading3"/>
        <w:spacing w:after="120" w:before="200"/>
      </w:pPr>
      <w:r>
        <w:t xml:space="preserve">MindShift CBT</w:t>
      </w:r>
    </w:p>
    <w:p>
      <w:pPr>
        <w:spacing w:after="80" w:before="80"/>
        <w:jc w:val="both"/>
      </w:pPr>
      <w:r>
        <w:rPr>
          <w:sz w:val="22"/>
          <w:szCs w:val="22"/>
        </w:rPr>
        <w:t xml:space="preserve">Aplicație gratuită bazată pe terapia cognitiv-comportamentală, dezvoltată de Anxiety Canada. Este orientată în principal către adolescenți și adulți tineri cu tulburări de anxietate.</w:t>
      </w:r>
    </w:p>
    <w:p>
      <w:pPr>
        <w:pStyle w:val="Heading1"/>
        <w:spacing w:after="200" w:before="360"/>
      </w:pPr>
      <w:r>
        <w:t xml:space="preserve">3. Tabel comparativ</w:t>
      </w:r>
    </w:p>
    <w:p>
      <w:pPr>
        <w:spacing w:after="80" w:before="80"/>
        <w:jc w:val="both"/>
      </w:pPr>
      <w:r>
        <w:rPr>
          <w:sz w:val="22"/>
          <w:szCs w:val="22"/>
        </w:rPr>
        <w:t xml:space="preserve">Tabelul de mai jos prezintă o comparație directă între MindGuard și aplicațiile concurente, pe criteriile cele mai relevante pentru publicul nostru țintă:</w:t>
      </w:r>
    </w:p>
    <w:tbl>
      <w:tblPr>
        <w:tblW w:type="dxa" w:w="9450"/>
        <w:tblBorders>
          <w:top w:val="single" w:color="auto" w:sz="4"/>
          <w:left w:val="single" w:color="auto" w:sz="4"/>
          <w:bottom w:val="single" w:color="auto" w:sz="4"/>
          <w:right w:val="single" w:color="auto" w:sz="4"/>
          <w:insideH w:val="single" w:color="auto" w:sz="4"/>
          <w:insideV w:val="single" w:color="auto" w:sz="4"/>
        </w:tblBorders>
      </w:tblPr>
      <w:tblGrid>
        <w:gridCol w:w="2200"/>
        <w:gridCol w:w="1450"/>
        <w:gridCol w:w="1450"/>
        <w:gridCol w:w="1450"/>
        <w:gridCol w:w="1450"/>
        <w:gridCol w:w="1450"/>
      </w:tblGrid>
      <w:tr>
        <w:trPr>
          <w:tblHeader/>
        </w:trPr>
        <w:tc>
          <w:tcPr>
            <w:tcW w:type="dxa" w:w="2200"/>
            <w:tcBorders>
              <w:top w:val="single" w:color="999999" w:sz="4"/>
              <w:left w:val="single" w:color="999999" w:sz="4"/>
              <w:bottom w:val="single" w:color="999999" w:sz="4"/>
              <w:right w:val="single" w:color="999999" w:sz="4"/>
            </w:tcBorders>
            <w:shd w:fill="5B5FE6" w:val="clear"/>
            <w:tcMar>
              <w:top w:type="dxa" w:w="100"/>
              <w:left w:type="dxa" w:w="140"/>
              <w:bottom w:type="dxa" w:w="100"/>
              <w:right w:type="dxa" w:w="140"/>
            </w:tcMar>
          </w:tcPr>
          <w:p>
            <w:pPr>
              <w:spacing w:after="30" w:before="30"/>
              <w:jc w:val="center"/>
            </w:pPr>
            <w:r>
              <w:rPr>
                <w:b/>
                <w:bCs/>
                <w:color w:val="FFFFFF"/>
                <w:sz w:val="18"/>
                <w:szCs w:val="18"/>
              </w:rPr>
              <w:t xml:space="preserve">Criteriu</w:t>
            </w:r>
          </w:p>
        </w:tc>
        <w:tc>
          <w:tcPr>
            <w:tcW w:type="dxa" w:w="1450"/>
            <w:tcBorders>
              <w:top w:val="single" w:color="999999" w:sz="4"/>
              <w:left w:val="single" w:color="999999" w:sz="4"/>
              <w:bottom w:val="single" w:color="999999" w:sz="4"/>
              <w:right w:val="single" w:color="999999" w:sz="4"/>
            </w:tcBorders>
            <w:shd w:fill="5B5FE6" w:val="clear"/>
            <w:tcMar>
              <w:top w:type="dxa" w:w="100"/>
              <w:left w:type="dxa" w:w="140"/>
              <w:bottom w:type="dxa" w:w="100"/>
              <w:right w:type="dxa" w:w="140"/>
            </w:tcMar>
          </w:tcPr>
          <w:p>
            <w:pPr>
              <w:spacing w:after="30" w:before="30"/>
              <w:jc w:val="center"/>
            </w:pPr>
            <w:r>
              <w:rPr>
                <w:b/>
                <w:bCs/>
                <w:color w:val="FFFFFF"/>
                <w:sz w:val="18"/>
                <w:szCs w:val="18"/>
              </w:rPr>
              <w:t xml:space="preserve">MindGuard</w:t>
            </w:r>
          </w:p>
        </w:tc>
        <w:tc>
          <w:tcPr>
            <w:tcW w:type="dxa" w:w="1450"/>
            <w:tcBorders>
              <w:top w:val="single" w:color="999999" w:sz="4"/>
              <w:left w:val="single" w:color="999999" w:sz="4"/>
              <w:bottom w:val="single" w:color="999999" w:sz="4"/>
              <w:right w:val="single" w:color="999999" w:sz="4"/>
            </w:tcBorders>
            <w:shd w:fill="5B5FE6" w:val="clear"/>
            <w:tcMar>
              <w:top w:type="dxa" w:w="100"/>
              <w:left w:type="dxa" w:w="140"/>
              <w:bottom w:type="dxa" w:w="100"/>
              <w:right w:type="dxa" w:w="140"/>
            </w:tcMar>
          </w:tcPr>
          <w:p>
            <w:pPr>
              <w:spacing w:after="30" w:before="30"/>
              <w:jc w:val="center"/>
            </w:pPr>
            <w:r>
              <w:rPr>
                <w:b/>
                <w:bCs/>
                <w:color w:val="FFFFFF"/>
                <w:sz w:val="18"/>
                <w:szCs w:val="18"/>
              </w:rPr>
              <w:t xml:space="preserve">Calm</w:t>
            </w:r>
          </w:p>
        </w:tc>
        <w:tc>
          <w:tcPr>
            <w:tcW w:type="dxa" w:w="1450"/>
            <w:tcBorders>
              <w:top w:val="single" w:color="999999" w:sz="4"/>
              <w:left w:val="single" w:color="999999" w:sz="4"/>
              <w:bottom w:val="single" w:color="999999" w:sz="4"/>
              <w:right w:val="single" w:color="999999" w:sz="4"/>
            </w:tcBorders>
            <w:shd w:fill="5B5FE6" w:val="clear"/>
            <w:tcMar>
              <w:top w:type="dxa" w:w="100"/>
              <w:left w:type="dxa" w:w="140"/>
              <w:bottom w:type="dxa" w:w="100"/>
              <w:right w:type="dxa" w:w="140"/>
            </w:tcMar>
          </w:tcPr>
          <w:p>
            <w:pPr>
              <w:spacing w:after="30" w:before="30"/>
              <w:jc w:val="center"/>
            </w:pPr>
            <w:r>
              <w:rPr>
                <w:b/>
                <w:bCs/>
                <w:color w:val="FFFFFF"/>
                <w:sz w:val="18"/>
                <w:szCs w:val="18"/>
              </w:rPr>
              <w:t xml:space="preserve">Headspace</w:t>
            </w:r>
          </w:p>
        </w:tc>
        <w:tc>
          <w:tcPr>
            <w:tcW w:type="dxa" w:w="1450"/>
            <w:tcBorders>
              <w:top w:val="single" w:color="999999" w:sz="4"/>
              <w:left w:val="single" w:color="999999" w:sz="4"/>
              <w:bottom w:val="single" w:color="999999" w:sz="4"/>
              <w:right w:val="single" w:color="999999" w:sz="4"/>
            </w:tcBorders>
            <w:shd w:fill="5B5FE6" w:val="clear"/>
            <w:tcMar>
              <w:top w:type="dxa" w:w="100"/>
              <w:left w:type="dxa" w:w="140"/>
              <w:bottom w:type="dxa" w:w="100"/>
              <w:right w:type="dxa" w:w="140"/>
            </w:tcMar>
          </w:tcPr>
          <w:p>
            <w:pPr>
              <w:spacing w:after="30" w:before="30"/>
              <w:jc w:val="center"/>
            </w:pPr>
            <w:r>
              <w:rPr>
                <w:b/>
                <w:bCs/>
                <w:color w:val="FFFFFF"/>
                <w:sz w:val="18"/>
                <w:szCs w:val="18"/>
              </w:rPr>
              <w:t xml:space="preserve">Wysa</w:t>
            </w:r>
          </w:p>
        </w:tc>
        <w:tc>
          <w:tcPr>
            <w:tcW w:type="dxa" w:w="1450"/>
            <w:tcBorders>
              <w:top w:val="single" w:color="999999" w:sz="4"/>
              <w:left w:val="single" w:color="999999" w:sz="4"/>
              <w:bottom w:val="single" w:color="999999" w:sz="4"/>
              <w:right w:val="single" w:color="999999" w:sz="4"/>
            </w:tcBorders>
            <w:shd w:fill="5B5FE6" w:val="clear"/>
            <w:tcMar>
              <w:top w:type="dxa" w:w="100"/>
              <w:left w:type="dxa" w:w="140"/>
              <w:bottom w:type="dxa" w:w="100"/>
              <w:right w:type="dxa" w:w="140"/>
            </w:tcMar>
          </w:tcPr>
          <w:p>
            <w:pPr>
              <w:spacing w:after="30" w:before="30"/>
              <w:jc w:val="center"/>
            </w:pPr>
            <w:r>
              <w:rPr>
                <w:b/>
                <w:bCs/>
                <w:color w:val="FFFFFF"/>
                <w:sz w:val="18"/>
                <w:szCs w:val="18"/>
              </w:rPr>
              <w:t xml:space="preserve">MindShift</w:t>
            </w:r>
          </w:p>
        </w:tc>
      </w:tr>
      <w:tr>
        <w:tc>
          <w:tcPr>
            <w:tcW w:type="dxa" w:w="2200"/>
            <w:tcBorders>
              <w:top w:val="single" w:color="999999" w:sz="4"/>
              <w:left w:val="single" w:color="999999" w:sz="4"/>
              <w:bottom w:val="single" w:color="999999" w:sz="4"/>
              <w:right w:val="single" w:color="999999" w:sz="4"/>
            </w:tcBorders>
            <w:shd w:fill="F5F5F5" w:val="clear"/>
            <w:tcMar>
              <w:top w:type="dxa" w:w="100"/>
              <w:left w:type="dxa" w:w="140"/>
              <w:bottom w:type="dxa" w:w="100"/>
              <w:right w:type="dxa" w:w="140"/>
            </w:tcMar>
          </w:tcPr>
          <w:p>
            <w:pPr>
              <w:spacing w:after="30" w:before="30"/>
              <w:jc w:val="left"/>
            </w:pPr>
            <w:r>
              <w:rPr>
                <w:b/>
                <w:bCs/>
                <w:color w:val="000000"/>
                <w:sz w:val="18"/>
                <w:szCs w:val="18"/>
              </w:rPr>
              <w:t xml:space="preserve">Public țintă</w:t>
            </w:r>
          </w:p>
        </w:tc>
        <w:tc>
          <w:tcPr>
            <w:tcW w:type="dxa" w:w="1450"/>
            <w:tcBorders>
              <w:top w:val="single" w:color="999999" w:sz="4"/>
              <w:left w:val="single" w:color="999999" w:sz="4"/>
              <w:bottom w:val="single" w:color="999999" w:sz="4"/>
              <w:right w:val="single" w:color="999999" w:sz="4"/>
            </w:tcBorders>
            <w:shd w:fill="E8E9FA" w:val="clear"/>
            <w:tcMar>
              <w:top w:type="dxa" w:w="100"/>
              <w:left w:type="dxa" w:w="140"/>
              <w:bottom w:type="dxa" w:w="100"/>
              <w:right w:type="dxa" w:w="140"/>
            </w:tcMar>
          </w:tcPr>
          <w:p>
            <w:pPr>
              <w:spacing w:after="30" w:before="30"/>
              <w:jc w:val="left"/>
            </w:pPr>
            <w:r>
              <w:rPr>
                <w:b/>
                <w:bCs/>
                <w:color w:val="000000"/>
                <w:sz w:val="18"/>
                <w:szCs w:val="18"/>
              </w:rPr>
              <w:t xml:space="preserve">Copii 8-14 ani cu dizabilități</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Adulți</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Adulți + copii (general)</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Adolescenți și adulți (13+)</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Adolescenți și adulți</w:t>
            </w:r>
          </w:p>
        </w:tc>
      </w:tr>
      <w:tr>
        <w:tc>
          <w:tcPr>
            <w:tcW w:type="dxa" w:w="2200"/>
            <w:tcBorders>
              <w:top w:val="single" w:color="999999" w:sz="4"/>
              <w:left w:val="single" w:color="999999" w:sz="4"/>
              <w:bottom w:val="single" w:color="999999" w:sz="4"/>
              <w:right w:val="single" w:color="999999" w:sz="4"/>
            </w:tcBorders>
            <w:shd w:fill="F5F5F5" w:val="clear"/>
            <w:tcMar>
              <w:top w:type="dxa" w:w="100"/>
              <w:left w:type="dxa" w:w="140"/>
              <w:bottom w:type="dxa" w:w="100"/>
              <w:right w:type="dxa" w:w="140"/>
            </w:tcMar>
          </w:tcPr>
          <w:p>
            <w:pPr>
              <w:spacing w:after="30" w:before="30"/>
              <w:jc w:val="left"/>
            </w:pPr>
            <w:r>
              <w:rPr>
                <w:b/>
                <w:bCs/>
                <w:color w:val="000000"/>
                <w:sz w:val="18"/>
                <w:szCs w:val="18"/>
              </w:rPr>
              <w:t xml:space="preserve">Cost</w:t>
            </w:r>
          </w:p>
        </w:tc>
        <w:tc>
          <w:tcPr>
            <w:tcW w:type="dxa" w:w="1450"/>
            <w:tcBorders>
              <w:top w:val="single" w:color="999999" w:sz="4"/>
              <w:left w:val="single" w:color="999999" w:sz="4"/>
              <w:bottom w:val="single" w:color="999999" w:sz="4"/>
              <w:right w:val="single" w:color="999999" w:sz="4"/>
            </w:tcBorders>
            <w:shd w:fill="E8E9FA" w:val="clear"/>
            <w:tcMar>
              <w:top w:type="dxa" w:w="100"/>
              <w:left w:type="dxa" w:w="140"/>
              <w:bottom w:type="dxa" w:w="100"/>
              <w:right w:type="dxa" w:w="140"/>
            </w:tcMar>
          </w:tcPr>
          <w:p>
            <w:pPr>
              <w:spacing w:after="30" w:before="30"/>
              <w:jc w:val="left"/>
            </w:pPr>
            <w:r>
              <w:rPr>
                <w:b/>
                <w:bCs/>
                <w:color w:val="000000"/>
                <w:sz w:val="18"/>
                <w:szCs w:val="18"/>
              </w:rPr>
              <w:t xml:space="preserve">Gratuit</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~70 USD/an</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~70 USD/an</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Freemium + abonament</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Gratuit</w:t>
            </w:r>
          </w:p>
        </w:tc>
      </w:tr>
      <w:tr>
        <w:tc>
          <w:tcPr>
            <w:tcW w:type="dxa" w:w="2200"/>
            <w:tcBorders>
              <w:top w:val="single" w:color="999999" w:sz="4"/>
              <w:left w:val="single" w:color="999999" w:sz="4"/>
              <w:bottom w:val="single" w:color="999999" w:sz="4"/>
              <w:right w:val="single" w:color="999999" w:sz="4"/>
            </w:tcBorders>
            <w:shd w:fill="F5F5F5" w:val="clear"/>
            <w:tcMar>
              <w:top w:type="dxa" w:w="100"/>
              <w:left w:type="dxa" w:w="140"/>
              <w:bottom w:type="dxa" w:w="100"/>
              <w:right w:type="dxa" w:w="140"/>
            </w:tcMar>
          </w:tcPr>
          <w:p>
            <w:pPr>
              <w:spacing w:after="30" w:before="30"/>
              <w:jc w:val="left"/>
            </w:pPr>
            <w:r>
              <w:rPr>
                <w:b/>
                <w:bCs/>
                <w:color w:val="000000"/>
                <w:sz w:val="18"/>
                <w:szCs w:val="18"/>
              </w:rPr>
              <w:t xml:space="preserve">Reclame</w:t>
            </w:r>
          </w:p>
        </w:tc>
        <w:tc>
          <w:tcPr>
            <w:tcW w:type="dxa" w:w="1450"/>
            <w:tcBorders>
              <w:top w:val="single" w:color="999999" w:sz="4"/>
              <w:left w:val="single" w:color="999999" w:sz="4"/>
              <w:bottom w:val="single" w:color="999999" w:sz="4"/>
              <w:right w:val="single" w:color="999999" w:sz="4"/>
            </w:tcBorders>
            <w:shd w:fill="E8E9FA" w:val="clear"/>
            <w:tcMar>
              <w:top w:type="dxa" w:w="100"/>
              <w:left w:type="dxa" w:w="140"/>
              <w:bottom w:type="dxa" w:w="100"/>
              <w:right w:type="dxa" w:w="140"/>
            </w:tcMar>
          </w:tcPr>
          <w:p>
            <w:pPr>
              <w:spacing w:after="30" w:before="30"/>
              <w:jc w:val="left"/>
            </w:pPr>
            <w:r>
              <w:rPr>
                <w:b/>
                <w:bCs/>
                <w:color w:val="000000"/>
                <w:sz w:val="18"/>
                <w:szCs w:val="18"/>
              </w:rPr>
              <w:t xml:space="preserve">Nu</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 (premium)</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 (premium)</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w:t>
            </w:r>
          </w:p>
        </w:tc>
      </w:tr>
      <w:tr>
        <w:tc>
          <w:tcPr>
            <w:tcW w:type="dxa" w:w="2200"/>
            <w:tcBorders>
              <w:top w:val="single" w:color="999999" w:sz="4"/>
              <w:left w:val="single" w:color="999999" w:sz="4"/>
              <w:bottom w:val="single" w:color="999999" w:sz="4"/>
              <w:right w:val="single" w:color="999999" w:sz="4"/>
            </w:tcBorders>
            <w:shd w:fill="F5F5F5" w:val="clear"/>
            <w:tcMar>
              <w:top w:type="dxa" w:w="100"/>
              <w:left w:type="dxa" w:w="140"/>
              <w:bottom w:type="dxa" w:w="100"/>
              <w:right w:type="dxa" w:w="140"/>
            </w:tcMar>
          </w:tcPr>
          <w:p>
            <w:pPr>
              <w:spacing w:after="30" w:before="30"/>
              <w:jc w:val="left"/>
            </w:pPr>
            <w:r>
              <w:rPr>
                <w:b/>
                <w:bCs/>
                <w:color w:val="000000"/>
                <w:sz w:val="18"/>
                <w:szCs w:val="18"/>
              </w:rPr>
              <w:t xml:space="preserve">Mod contrast înalt</w:t>
            </w:r>
          </w:p>
        </w:tc>
        <w:tc>
          <w:tcPr>
            <w:tcW w:type="dxa" w:w="1450"/>
            <w:tcBorders>
              <w:top w:val="single" w:color="999999" w:sz="4"/>
              <w:left w:val="single" w:color="999999" w:sz="4"/>
              <w:bottom w:val="single" w:color="999999" w:sz="4"/>
              <w:right w:val="single" w:color="999999" w:sz="4"/>
            </w:tcBorders>
            <w:shd w:fill="E8E9FA" w:val="clear"/>
            <w:tcMar>
              <w:top w:type="dxa" w:w="100"/>
              <w:left w:type="dxa" w:w="140"/>
              <w:bottom w:type="dxa" w:w="100"/>
              <w:right w:type="dxa" w:w="140"/>
            </w:tcMar>
          </w:tcPr>
          <w:p>
            <w:pPr>
              <w:spacing w:after="30" w:before="30"/>
              <w:jc w:val="left"/>
            </w:pPr>
            <w:r>
              <w:rPr>
                <w:b/>
                <w:bCs/>
                <w:color w:val="000000"/>
                <w:sz w:val="18"/>
                <w:szCs w:val="18"/>
              </w:rPr>
              <w:t xml:space="preserve">Da, integrat</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Limitat</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Limitat</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Limitat</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w:t>
            </w:r>
          </w:p>
        </w:tc>
      </w:tr>
      <w:tr>
        <w:tc>
          <w:tcPr>
            <w:tcW w:type="dxa" w:w="2200"/>
            <w:tcBorders>
              <w:top w:val="single" w:color="999999" w:sz="4"/>
              <w:left w:val="single" w:color="999999" w:sz="4"/>
              <w:bottom w:val="single" w:color="999999" w:sz="4"/>
              <w:right w:val="single" w:color="999999" w:sz="4"/>
            </w:tcBorders>
            <w:shd w:fill="F5F5F5" w:val="clear"/>
            <w:tcMar>
              <w:top w:type="dxa" w:w="100"/>
              <w:left w:type="dxa" w:w="140"/>
              <w:bottom w:type="dxa" w:w="100"/>
              <w:right w:type="dxa" w:w="140"/>
            </w:tcMar>
          </w:tcPr>
          <w:p>
            <w:pPr>
              <w:spacing w:after="30" w:before="30"/>
              <w:jc w:val="left"/>
            </w:pPr>
            <w:r>
              <w:rPr>
                <w:b/>
                <w:bCs/>
                <w:color w:val="000000"/>
                <w:sz w:val="18"/>
                <w:szCs w:val="18"/>
              </w:rPr>
              <w:t xml:space="preserve">Personalizare pentru dizabilități</w:t>
            </w:r>
          </w:p>
        </w:tc>
        <w:tc>
          <w:tcPr>
            <w:tcW w:type="dxa" w:w="1450"/>
            <w:tcBorders>
              <w:top w:val="single" w:color="999999" w:sz="4"/>
              <w:left w:val="single" w:color="999999" w:sz="4"/>
              <w:bottom w:val="single" w:color="999999" w:sz="4"/>
              <w:right w:val="single" w:color="999999" w:sz="4"/>
            </w:tcBorders>
            <w:shd w:fill="E8E9FA" w:val="clear"/>
            <w:tcMar>
              <w:top w:type="dxa" w:w="100"/>
              <w:left w:type="dxa" w:w="140"/>
              <w:bottom w:type="dxa" w:w="100"/>
              <w:right w:type="dxa" w:w="140"/>
            </w:tcMar>
          </w:tcPr>
          <w:p>
            <w:pPr>
              <w:spacing w:after="30" w:before="30"/>
              <w:jc w:val="left"/>
            </w:pPr>
            <w:r>
              <w:rPr>
                <w:b/>
                <w:bCs/>
                <w:color w:val="000000"/>
                <w:sz w:val="18"/>
                <w:szCs w:val="18"/>
              </w:rPr>
              <w:t xml:space="preserve">Da, principiul central</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Conformitate WCAG, dar fără personalizare</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w:t>
            </w:r>
          </w:p>
        </w:tc>
      </w:tr>
      <w:tr>
        <w:tc>
          <w:tcPr>
            <w:tcW w:type="dxa" w:w="2200"/>
            <w:tcBorders>
              <w:top w:val="single" w:color="999999" w:sz="4"/>
              <w:left w:val="single" w:color="999999" w:sz="4"/>
              <w:bottom w:val="single" w:color="999999" w:sz="4"/>
              <w:right w:val="single" w:color="999999" w:sz="4"/>
            </w:tcBorders>
            <w:shd w:fill="F5F5F5" w:val="clear"/>
            <w:tcMar>
              <w:top w:type="dxa" w:w="100"/>
              <w:left w:type="dxa" w:w="140"/>
              <w:bottom w:type="dxa" w:w="100"/>
              <w:right w:type="dxa" w:w="140"/>
            </w:tcMar>
          </w:tcPr>
          <w:p>
            <w:pPr>
              <w:spacing w:after="30" w:before="30"/>
              <w:jc w:val="left"/>
            </w:pPr>
            <w:r>
              <w:rPr>
                <w:b/>
                <w:bCs/>
                <w:color w:val="000000"/>
                <w:sz w:val="18"/>
                <w:szCs w:val="18"/>
              </w:rPr>
              <w:t xml:space="preserve">Limba română</w:t>
            </w:r>
          </w:p>
        </w:tc>
        <w:tc>
          <w:tcPr>
            <w:tcW w:type="dxa" w:w="1450"/>
            <w:tcBorders>
              <w:top w:val="single" w:color="999999" w:sz="4"/>
              <w:left w:val="single" w:color="999999" w:sz="4"/>
              <w:bottom w:val="single" w:color="999999" w:sz="4"/>
              <w:right w:val="single" w:color="999999" w:sz="4"/>
            </w:tcBorders>
            <w:shd w:fill="E8E9FA" w:val="clear"/>
            <w:tcMar>
              <w:top w:type="dxa" w:w="100"/>
              <w:left w:type="dxa" w:w="140"/>
              <w:bottom w:type="dxa" w:w="100"/>
              <w:right w:type="dxa" w:w="140"/>
            </w:tcMar>
          </w:tcPr>
          <w:p>
            <w:pPr>
              <w:spacing w:after="30" w:before="30"/>
              <w:jc w:val="left"/>
            </w:pPr>
            <w:r>
              <w:rPr>
                <w:b/>
                <w:bCs/>
                <w:color w:val="000000"/>
                <w:sz w:val="18"/>
                <w:szCs w:val="18"/>
              </w:rPr>
              <w:t xml:space="preserve">Da</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w:t>
            </w:r>
          </w:p>
        </w:tc>
      </w:tr>
      <w:tr>
        <w:tc>
          <w:tcPr>
            <w:tcW w:type="dxa" w:w="2200"/>
            <w:tcBorders>
              <w:top w:val="single" w:color="999999" w:sz="4"/>
              <w:left w:val="single" w:color="999999" w:sz="4"/>
              <w:bottom w:val="single" w:color="999999" w:sz="4"/>
              <w:right w:val="single" w:color="999999" w:sz="4"/>
            </w:tcBorders>
            <w:shd w:fill="F5F5F5" w:val="clear"/>
            <w:tcMar>
              <w:top w:type="dxa" w:w="100"/>
              <w:left w:type="dxa" w:w="140"/>
              <w:bottom w:type="dxa" w:w="100"/>
              <w:right w:type="dxa" w:w="140"/>
            </w:tcMar>
          </w:tcPr>
          <w:p>
            <w:pPr>
              <w:spacing w:after="30" w:before="30"/>
              <w:jc w:val="left"/>
            </w:pPr>
            <w:r>
              <w:rPr>
                <w:b/>
                <w:bCs/>
                <w:color w:val="000000"/>
                <w:sz w:val="18"/>
                <w:szCs w:val="18"/>
              </w:rPr>
              <w:t xml:space="preserve">Conținut adaptat copiilor</w:t>
            </w:r>
          </w:p>
        </w:tc>
        <w:tc>
          <w:tcPr>
            <w:tcW w:type="dxa" w:w="1450"/>
            <w:tcBorders>
              <w:top w:val="single" w:color="999999" w:sz="4"/>
              <w:left w:val="single" w:color="999999" w:sz="4"/>
              <w:bottom w:val="single" w:color="999999" w:sz="4"/>
              <w:right w:val="single" w:color="999999" w:sz="4"/>
            </w:tcBorders>
            <w:shd w:fill="E8E9FA" w:val="clear"/>
            <w:tcMar>
              <w:top w:type="dxa" w:w="100"/>
              <w:left w:type="dxa" w:w="140"/>
              <w:bottom w:type="dxa" w:w="100"/>
              <w:right w:type="dxa" w:w="140"/>
            </w:tcMar>
          </w:tcPr>
          <w:p>
            <w:pPr>
              <w:spacing w:after="30" w:before="30"/>
              <w:jc w:val="left"/>
            </w:pPr>
            <w:r>
              <w:rPr>
                <w:b/>
                <w:bCs/>
                <w:color w:val="000000"/>
                <w:sz w:val="18"/>
                <w:szCs w:val="18"/>
              </w:rPr>
              <w:t xml:space="preserve">Da, exclusiv</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Parțial</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Da (Headspace for Kids)</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 (sub 13 ani interzis)</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w:t>
            </w:r>
          </w:p>
        </w:tc>
      </w:tr>
      <w:tr>
        <w:tc>
          <w:tcPr>
            <w:tcW w:type="dxa" w:w="2200"/>
            <w:tcBorders>
              <w:top w:val="single" w:color="999999" w:sz="4"/>
              <w:left w:val="single" w:color="999999" w:sz="4"/>
              <w:bottom w:val="single" w:color="999999" w:sz="4"/>
              <w:right w:val="single" w:color="999999" w:sz="4"/>
            </w:tcBorders>
            <w:shd w:fill="F5F5F5" w:val="clear"/>
            <w:tcMar>
              <w:top w:type="dxa" w:w="100"/>
              <w:left w:type="dxa" w:w="140"/>
              <w:bottom w:type="dxa" w:w="100"/>
              <w:right w:type="dxa" w:w="140"/>
            </w:tcMar>
          </w:tcPr>
          <w:p>
            <w:pPr>
              <w:spacing w:after="30" w:before="30"/>
              <w:jc w:val="left"/>
            </w:pPr>
            <w:r>
              <w:rPr>
                <w:b/>
                <w:bCs/>
                <w:color w:val="000000"/>
                <w:sz w:val="18"/>
                <w:szCs w:val="18"/>
              </w:rPr>
              <w:t xml:space="preserve">Forum comunitar</w:t>
            </w:r>
          </w:p>
        </w:tc>
        <w:tc>
          <w:tcPr>
            <w:tcW w:type="dxa" w:w="1450"/>
            <w:tcBorders>
              <w:top w:val="single" w:color="999999" w:sz="4"/>
              <w:left w:val="single" w:color="999999" w:sz="4"/>
              <w:bottom w:val="single" w:color="999999" w:sz="4"/>
              <w:right w:val="single" w:color="999999" w:sz="4"/>
            </w:tcBorders>
            <w:shd w:fill="E8E9FA" w:val="clear"/>
            <w:tcMar>
              <w:top w:type="dxa" w:w="100"/>
              <w:left w:type="dxa" w:w="140"/>
              <w:bottom w:type="dxa" w:w="100"/>
              <w:right w:type="dxa" w:w="140"/>
            </w:tcMar>
          </w:tcPr>
          <w:p>
            <w:pPr>
              <w:spacing w:after="30" w:before="30"/>
              <w:jc w:val="left"/>
            </w:pPr>
            <w:r>
              <w:rPr>
                <w:b/>
                <w:bCs/>
                <w:color w:val="000000"/>
                <w:sz w:val="18"/>
                <w:szCs w:val="18"/>
              </w:rPr>
              <w:t xml:space="preserve">Da</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w:t>
            </w:r>
          </w:p>
        </w:tc>
      </w:tr>
      <w:tr>
        <w:tc>
          <w:tcPr>
            <w:tcW w:type="dxa" w:w="2200"/>
            <w:tcBorders>
              <w:top w:val="single" w:color="999999" w:sz="4"/>
              <w:left w:val="single" w:color="999999" w:sz="4"/>
              <w:bottom w:val="single" w:color="999999" w:sz="4"/>
              <w:right w:val="single" w:color="999999" w:sz="4"/>
            </w:tcBorders>
            <w:shd w:fill="F5F5F5" w:val="clear"/>
            <w:tcMar>
              <w:top w:type="dxa" w:w="100"/>
              <w:left w:type="dxa" w:w="140"/>
              <w:bottom w:type="dxa" w:w="100"/>
              <w:right w:type="dxa" w:w="140"/>
            </w:tcMar>
          </w:tcPr>
          <w:p>
            <w:pPr>
              <w:spacing w:after="30" w:before="30"/>
              <w:jc w:val="left"/>
            </w:pPr>
            <w:r>
              <w:rPr>
                <w:b/>
                <w:bCs/>
                <w:color w:val="000000"/>
                <w:sz w:val="18"/>
                <w:szCs w:val="18"/>
              </w:rPr>
              <w:t xml:space="preserve">Exerciții vizuale animate</w:t>
            </w:r>
          </w:p>
        </w:tc>
        <w:tc>
          <w:tcPr>
            <w:tcW w:type="dxa" w:w="1450"/>
            <w:tcBorders>
              <w:top w:val="single" w:color="999999" w:sz="4"/>
              <w:left w:val="single" w:color="999999" w:sz="4"/>
              <w:bottom w:val="single" w:color="999999" w:sz="4"/>
              <w:right w:val="single" w:color="999999" w:sz="4"/>
            </w:tcBorders>
            <w:shd w:fill="E8E9FA" w:val="clear"/>
            <w:tcMar>
              <w:top w:type="dxa" w:w="100"/>
              <w:left w:type="dxa" w:w="140"/>
              <w:bottom w:type="dxa" w:w="100"/>
              <w:right w:type="dxa" w:w="140"/>
            </w:tcMar>
          </w:tcPr>
          <w:p>
            <w:pPr>
              <w:spacing w:after="30" w:before="30"/>
              <w:jc w:val="left"/>
            </w:pPr>
            <w:r>
              <w:rPr>
                <w:b/>
                <w:bCs/>
                <w:color w:val="000000"/>
                <w:sz w:val="18"/>
                <w:szCs w:val="18"/>
              </w:rPr>
              <w:t xml:space="preserve">Da</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Audio principal</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Audio + video</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Chatbot text</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Text și liste</w:t>
            </w:r>
          </w:p>
        </w:tc>
      </w:tr>
      <w:tr>
        <w:tc>
          <w:tcPr>
            <w:tcW w:type="dxa" w:w="2200"/>
            <w:tcBorders>
              <w:top w:val="single" w:color="999999" w:sz="4"/>
              <w:left w:val="single" w:color="999999" w:sz="4"/>
              <w:bottom w:val="single" w:color="999999" w:sz="4"/>
              <w:right w:val="single" w:color="999999" w:sz="4"/>
            </w:tcBorders>
            <w:shd w:fill="F5F5F5" w:val="clear"/>
            <w:tcMar>
              <w:top w:type="dxa" w:w="100"/>
              <w:left w:type="dxa" w:w="140"/>
              <w:bottom w:type="dxa" w:w="100"/>
              <w:right w:type="dxa" w:w="140"/>
            </w:tcMar>
          </w:tcPr>
          <w:p>
            <w:pPr>
              <w:spacing w:after="30" w:before="30"/>
              <w:jc w:val="left"/>
            </w:pPr>
            <w:r>
              <w:rPr>
                <w:b/>
                <w:bCs/>
                <w:color w:val="000000"/>
                <w:sz w:val="18"/>
                <w:szCs w:val="18"/>
              </w:rPr>
              <w:t xml:space="preserve">Suport pentru deficiențe auditive</w:t>
            </w:r>
          </w:p>
        </w:tc>
        <w:tc>
          <w:tcPr>
            <w:tcW w:type="dxa" w:w="1450"/>
            <w:tcBorders>
              <w:top w:val="single" w:color="999999" w:sz="4"/>
              <w:left w:val="single" w:color="999999" w:sz="4"/>
              <w:bottom w:val="single" w:color="999999" w:sz="4"/>
              <w:right w:val="single" w:color="999999" w:sz="4"/>
            </w:tcBorders>
            <w:shd w:fill="E8E9FA" w:val="clear"/>
            <w:tcMar>
              <w:top w:type="dxa" w:w="100"/>
              <w:left w:type="dxa" w:w="140"/>
              <w:bottom w:type="dxa" w:w="100"/>
              <w:right w:type="dxa" w:w="140"/>
            </w:tcMar>
          </w:tcPr>
          <w:p>
            <w:pPr>
              <w:spacing w:after="30" w:before="30"/>
              <w:jc w:val="left"/>
            </w:pPr>
            <w:r>
              <w:rPr>
                <w:b/>
                <w:bCs/>
                <w:color w:val="000000"/>
                <w:sz w:val="18"/>
                <w:szCs w:val="18"/>
              </w:rPr>
              <w:t xml:space="preserve">Da, design vizual</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Subtitrări parțiale</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Subtitrări parțiale</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Da (chatbot text)</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Da (text)</w:t>
            </w:r>
          </w:p>
        </w:tc>
      </w:tr>
      <w:tr>
        <w:tc>
          <w:tcPr>
            <w:tcW w:type="dxa" w:w="2200"/>
            <w:tcBorders>
              <w:top w:val="single" w:color="999999" w:sz="4"/>
              <w:left w:val="single" w:color="999999" w:sz="4"/>
              <w:bottom w:val="single" w:color="999999" w:sz="4"/>
              <w:right w:val="single" w:color="999999" w:sz="4"/>
            </w:tcBorders>
            <w:shd w:fill="F5F5F5" w:val="clear"/>
            <w:tcMar>
              <w:top w:type="dxa" w:w="100"/>
              <w:left w:type="dxa" w:w="140"/>
              <w:bottom w:type="dxa" w:w="100"/>
              <w:right w:type="dxa" w:w="140"/>
            </w:tcMar>
          </w:tcPr>
          <w:p>
            <w:pPr>
              <w:spacing w:after="30" w:before="30"/>
              <w:jc w:val="left"/>
            </w:pPr>
            <w:r>
              <w:rPr>
                <w:b/>
                <w:bCs/>
                <w:color w:val="000000"/>
                <w:sz w:val="18"/>
                <w:szCs w:val="18"/>
              </w:rPr>
              <w:t xml:space="preserve">Suport pentru deficiențe vizuale</w:t>
            </w:r>
          </w:p>
        </w:tc>
        <w:tc>
          <w:tcPr>
            <w:tcW w:type="dxa" w:w="1450"/>
            <w:tcBorders>
              <w:top w:val="single" w:color="999999" w:sz="4"/>
              <w:left w:val="single" w:color="999999" w:sz="4"/>
              <w:bottom w:val="single" w:color="999999" w:sz="4"/>
              <w:right w:val="single" w:color="999999" w:sz="4"/>
            </w:tcBorders>
            <w:shd w:fill="E8E9FA" w:val="clear"/>
            <w:tcMar>
              <w:top w:type="dxa" w:w="100"/>
              <w:left w:type="dxa" w:w="140"/>
              <w:bottom w:type="dxa" w:w="100"/>
              <w:right w:type="dxa" w:w="140"/>
            </w:tcMar>
          </w:tcPr>
          <w:p>
            <w:pPr>
              <w:spacing w:after="30" w:before="30"/>
              <w:jc w:val="left"/>
            </w:pPr>
            <w:r>
              <w:rPr>
                <w:b/>
                <w:bCs/>
                <w:color w:val="000000"/>
                <w:sz w:val="18"/>
                <w:szCs w:val="18"/>
              </w:rPr>
              <w:t xml:space="preserve">Mod contrast înalt + font mare</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VoiceOver iOS</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VoiceOver iOS</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Conform WCAG</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 specificat</w:t>
            </w:r>
          </w:p>
        </w:tc>
      </w:tr>
      <w:tr>
        <w:tc>
          <w:tcPr>
            <w:tcW w:type="dxa" w:w="2200"/>
            <w:tcBorders>
              <w:top w:val="single" w:color="999999" w:sz="4"/>
              <w:left w:val="single" w:color="999999" w:sz="4"/>
              <w:bottom w:val="single" w:color="999999" w:sz="4"/>
              <w:right w:val="single" w:color="999999" w:sz="4"/>
            </w:tcBorders>
            <w:shd w:fill="F5F5F5" w:val="clear"/>
            <w:tcMar>
              <w:top w:type="dxa" w:w="100"/>
              <w:left w:type="dxa" w:w="140"/>
              <w:bottom w:type="dxa" w:w="100"/>
              <w:right w:type="dxa" w:w="140"/>
            </w:tcMar>
          </w:tcPr>
          <w:p>
            <w:pPr>
              <w:spacing w:after="30" w:before="30"/>
              <w:jc w:val="left"/>
            </w:pPr>
            <w:r>
              <w:rPr>
                <w:b/>
                <w:bCs/>
                <w:color w:val="000000"/>
                <w:sz w:val="18"/>
                <w:szCs w:val="18"/>
              </w:rPr>
              <w:t xml:space="preserve">Open source</w:t>
            </w:r>
          </w:p>
        </w:tc>
        <w:tc>
          <w:tcPr>
            <w:tcW w:type="dxa" w:w="1450"/>
            <w:tcBorders>
              <w:top w:val="single" w:color="999999" w:sz="4"/>
              <w:left w:val="single" w:color="999999" w:sz="4"/>
              <w:bottom w:val="single" w:color="999999" w:sz="4"/>
              <w:right w:val="single" w:color="999999" w:sz="4"/>
            </w:tcBorders>
            <w:shd w:fill="E8E9FA" w:val="clear"/>
            <w:tcMar>
              <w:top w:type="dxa" w:w="100"/>
              <w:left w:type="dxa" w:w="140"/>
              <w:bottom w:type="dxa" w:w="100"/>
              <w:right w:type="dxa" w:w="140"/>
            </w:tcMar>
          </w:tcPr>
          <w:p>
            <w:pPr>
              <w:spacing w:after="30" w:before="30"/>
              <w:jc w:val="left"/>
            </w:pPr>
            <w:r>
              <w:rPr>
                <w:b/>
                <w:bCs/>
                <w:color w:val="000000"/>
                <w:sz w:val="18"/>
                <w:szCs w:val="18"/>
              </w:rPr>
              <w:t xml:space="preserve">Da</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Nu</w:t>
            </w:r>
          </w:p>
        </w:tc>
      </w:tr>
      <w:tr>
        <w:tc>
          <w:tcPr>
            <w:tcW w:type="dxa" w:w="2200"/>
            <w:tcBorders>
              <w:top w:val="single" w:color="999999" w:sz="4"/>
              <w:left w:val="single" w:color="999999" w:sz="4"/>
              <w:bottom w:val="single" w:color="999999" w:sz="4"/>
              <w:right w:val="single" w:color="999999" w:sz="4"/>
            </w:tcBorders>
            <w:shd w:fill="F5F5F5" w:val="clear"/>
            <w:tcMar>
              <w:top w:type="dxa" w:w="100"/>
              <w:left w:type="dxa" w:w="140"/>
              <w:bottom w:type="dxa" w:w="100"/>
              <w:right w:type="dxa" w:w="140"/>
            </w:tcMar>
          </w:tcPr>
          <w:p>
            <w:pPr>
              <w:spacing w:after="30" w:before="30"/>
              <w:jc w:val="left"/>
            </w:pPr>
            <w:r>
              <w:rPr>
                <w:b/>
                <w:bCs/>
                <w:color w:val="000000"/>
                <w:sz w:val="18"/>
                <w:szCs w:val="18"/>
              </w:rPr>
              <w:t xml:space="preserve">Cross-platform</w:t>
            </w:r>
          </w:p>
        </w:tc>
        <w:tc>
          <w:tcPr>
            <w:tcW w:type="dxa" w:w="1450"/>
            <w:tcBorders>
              <w:top w:val="single" w:color="999999" w:sz="4"/>
              <w:left w:val="single" w:color="999999" w:sz="4"/>
              <w:bottom w:val="single" w:color="999999" w:sz="4"/>
              <w:right w:val="single" w:color="999999" w:sz="4"/>
            </w:tcBorders>
            <w:shd w:fill="E8E9FA" w:val="clear"/>
            <w:tcMar>
              <w:top w:type="dxa" w:w="100"/>
              <w:left w:type="dxa" w:w="140"/>
              <w:bottom w:type="dxa" w:w="100"/>
              <w:right w:type="dxa" w:w="140"/>
            </w:tcMar>
          </w:tcPr>
          <w:p>
            <w:pPr>
              <w:spacing w:after="30" w:before="30"/>
              <w:jc w:val="left"/>
            </w:pPr>
            <w:r>
              <w:rPr>
                <w:b/>
                <w:bCs/>
                <w:color w:val="000000"/>
                <w:sz w:val="18"/>
                <w:szCs w:val="18"/>
              </w:rPr>
              <w:t xml:space="preserve">iOS, Android, Web, Desktop</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iOS, Android, Web</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iOS, Android, Web</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iOS, Android, Web</w:t>
            </w:r>
          </w:p>
        </w:tc>
        <w:tc>
          <w:tcPr>
            <w:tcW w:type="dxa" w:w="145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spacing w:after="30" w:before="30"/>
              <w:jc w:val="left"/>
            </w:pPr>
            <w:r>
              <w:rPr>
                <w:color w:val="000000"/>
                <w:sz w:val="18"/>
                <w:szCs w:val="18"/>
              </w:rPr>
              <w:t xml:space="preserve">iOS, Android</w:t>
            </w:r>
          </w:p>
        </w:tc>
      </w:tr>
    </w:tbl>
    <w:p>
      <w:pPr>
        <w:pStyle w:val="Heading1"/>
        <w:spacing w:after="200" w:before="360"/>
      </w:pPr>
      <w:r>
        <w:t xml:space="preserve">4. Concluziile analizei</w:t>
      </w:r>
    </w:p>
    <w:p>
      <w:pPr>
        <w:spacing w:after="80" w:before="80"/>
        <w:jc w:val="both"/>
      </w:pPr>
      <w:r>
        <w:rPr>
          <w:sz w:val="22"/>
          <w:szCs w:val="22"/>
        </w:rPr>
        <w:t xml:space="preserve">Din analiza de mai sus rezultă câteva concluzii importante:</w:t>
      </w:r>
    </w:p>
    <w:p>
      <w:pPr>
        <w:pStyle w:val="Heading3"/>
        <w:spacing w:after="120" w:before="200"/>
      </w:pPr>
      <w:r>
        <w:t xml:space="preserve">4.1. Există un gol clar în piață</w:t>
      </w:r>
    </w:p>
    <w:p>
      <w:pPr>
        <w:spacing w:after="80" w:before="80"/>
        <w:jc w:val="both"/>
      </w:pPr>
      <w:r>
        <w:rPr>
          <w:sz w:val="22"/>
          <w:szCs w:val="22"/>
        </w:rPr>
        <w:t xml:space="preserve">Niciuna dintre aplicațiile analizate nu se adresează specific copiilor cu dizabilități. Calm și Headspace au conținut pentru copii, dar nu au funcționalități de accesibilitate dedicate. Wysa nu permite utilizatori sub 13 ani. MindShift este orientată către adolescenți și adulți. Acest gol este exact ceea ce MindGuard își propune să acopere.</w:t>
      </w:r>
    </w:p>
    <w:p>
      <w:pPr>
        <w:pStyle w:val="Heading3"/>
        <w:spacing w:after="120" w:before="200"/>
      </w:pPr>
      <w:r>
        <w:t xml:space="preserve">4.2. Accesibilitatea este abordată superficial</w:t>
      </w:r>
    </w:p>
    <w:p>
      <w:pPr>
        <w:spacing w:after="80" w:before="80"/>
        <w:jc w:val="both"/>
      </w:pPr>
      <w:r>
        <w:rPr>
          <w:sz w:val="22"/>
          <w:szCs w:val="22"/>
        </w:rPr>
        <w:t xml:space="preserve">Chiar și acolo unde există declarații despre accesibilitate (de exemplu, Wysa menționează conformitatea cu WCAG 2.1), funcționalitățile concrete sunt limitate la contrast și navigare prin tastatură. Pentru copiii cu dizabilități severe, acestea nu sunt suficiente. MindGuard își propune o abordare mai profundă: personalizarea întregii experiențe în funcție de tipul de dizabilitate al utilizatorului.</w:t>
      </w:r>
    </w:p>
    <w:p>
      <w:pPr>
        <w:pStyle w:val="Heading3"/>
        <w:spacing w:after="120" w:before="200"/>
      </w:pPr>
      <w:r>
        <w:t xml:space="preserve">4.3. Modelul de cost este o barieră</w:t>
      </w:r>
    </w:p>
    <w:p>
      <w:pPr>
        <w:spacing w:after="80" w:before="80"/>
        <w:jc w:val="both"/>
      </w:pPr>
      <w:r>
        <w:rPr>
          <w:sz w:val="22"/>
          <w:szCs w:val="22"/>
        </w:rPr>
        <w:t xml:space="preserve">Calm și Headspace au abonamente care depășesc 60-70 USD pe an, ceea ce reprezintă o barieră majoră pentru familiile cu resurse limitate — mai ales pentru familiile care au deja cheltuieli suplimentare legate de terapia copiilor cu dizabilități. MindGuard este și va rămâne gratuit.</w:t>
      </w:r>
    </w:p>
    <w:p>
      <w:pPr>
        <w:pStyle w:val="Heading3"/>
        <w:spacing w:after="120" w:before="200"/>
      </w:pPr>
      <w:r>
        <w:t xml:space="preserve">4.4. Conținutul nu este adaptat cultural pentru România</w:t>
      </w:r>
    </w:p>
    <w:p>
      <w:pPr>
        <w:spacing w:after="80" w:before="80"/>
        <w:jc w:val="both"/>
      </w:pPr>
      <w:r>
        <w:rPr>
          <w:sz w:val="22"/>
          <w:szCs w:val="22"/>
        </w:rPr>
        <w:t xml:space="preserve">Aplicațiile concurente sunt majoritar în limba engleză, cu eventuale traduceri parțiale în alte limbi. Niciuna dintre ele nu este disponibilă în limba română. MindGuard este dezvoltată pentru utilizatori din România, în limba română, cu intenția de a fi adaptată și la limba semnelor românească într-o etapă ulterioară.</w:t>
      </w:r>
    </w:p>
    <w:p>
      <w:pPr>
        <w:pStyle w:val="Heading3"/>
        <w:spacing w:after="120" w:before="200"/>
      </w:pPr>
      <w:r>
        <w:t xml:space="preserve">4.5. Componenta comunitară lipsește</w:t>
      </w:r>
    </w:p>
    <w:p>
      <w:pPr>
        <w:spacing w:after="80" w:before="80"/>
        <w:jc w:val="both"/>
      </w:pPr>
      <w:r>
        <w:rPr>
          <w:sz w:val="22"/>
          <w:szCs w:val="22"/>
        </w:rPr>
        <w:t xml:space="preserve">Aplicațiile analizate oferă conținut, dar nu și o comunitate de utilizatori. Pentru copiii cu dizabilități, care adesea se simt izolați, posibilitatea de a interacționa cu alți copii în situații similare poate fi mai valoroasă decât conținutul în sine. MindGuard integrează un forum simplu, moderat, care răspunde acestei nevoi.</w:t>
      </w:r>
    </w:p>
    <w:p>
      <w:pPr>
        <w:pStyle w:val="Heading1"/>
        <w:spacing w:after="200" w:before="360"/>
      </w:pPr>
      <w:r>
        <w:t xml:space="preserve">5. Elementele distinctive ale MindGuard</w:t>
      </w:r>
    </w:p>
    <w:p>
      <w:pPr>
        <w:spacing w:after="80" w:before="80"/>
        <w:jc w:val="both"/>
      </w:pPr>
      <w:r>
        <w:rPr>
          <w:sz w:val="22"/>
          <w:szCs w:val="22"/>
        </w:rPr>
        <w:t xml:space="preserve">Pe baza analizei de mai sus, putem afirma că MindGuard se diferențiază clar de aplicațiile existente prin:</w:t>
      </w:r>
    </w:p>
    <w:p>
      <w:pPr>
        <w:pStyle w:val="ListParagraph"/>
        <w:numPr>
          <w:ilvl w:val="0"/>
          <w:numId w:val="2"/>
        </w:numPr>
        <w:spacing w:after="40" w:before="40"/>
      </w:pPr>
      <w:r>
        <w:rPr>
          <w:sz w:val="22"/>
          <w:szCs w:val="22"/>
        </w:rPr>
        <w:t xml:space="preserve">Focusul exclusiv pe copii cu dizabilități — un segment ignorat de marile aplicații comerciale.</w:t>
      </w:r>
    </w:p>
    <w:p>
      <w:pPr>
        <w:pStyle w:val="ListParagraph"/>
        <w:numPr>
          <w:ilvl w:val="0"/>
          <w:numId w:val="2"/>
        </w:numPr>
        <w:spacing w:after="40" w:before="40"/>
      </w:pPr>
      <w:r>
        <w:rPr>
          <w:sz w:val="22"/>
          <w:szCs w:val="22"/>
        </w:rPr>
        <w:t xml:space="preserve">Personalizarea interfeței în funcție de tipul de dizabilitate al utilizatorului — nu doar un simplu „mod accesibilitate”.</w:t>
      </w:r>
    </w:p>
    <w:p>
      <w:pPr>
        <w:pStyle w:val="ListParagraph"/>
        <w:numPr>
          <w:ilvl w:val="0"/>
          <w:numId w:val="2"/>
        </w:numPr>
        <w:spacing w:after="40" w:before="40"/>
      </w:pPr>
      <w:r>
        <w:rPr>
          <w:sz w:val="22"/>
          <w:szCs w:val="22"/>
        </w:rPr>
        <w:t xml:space="preserve">Modelul gratuit — fără abonamente, fără reclame.</w:t>
      </w:r>
    </w:p>
    <w:p>
      <w:pPr>
        <w:pStyle w:val="ListParagraph"/>
        <w:numPr>
          <w:ilvl w:val="0"/>
          <w:numId w:val="2"/>
        </w:numPr>
        <w:spacing w:after="40" w:before="40"/>
      </w:pPr>
      <w:r>
        <w:rPr>
          <w:sz w:val="22"/>
          <w:szCs w:val="22"/>
        </w:rPr>
        <w:t xml:space="preserve">Conținut în limba română, cu planuri de adaptare la limba semnelor românească.</w:t>
      </w:r>
    </w:p>
    <w:p>
      <w:pPr>
        <w:pStyle w:val="ListParagraph"/>
        <w:numPr>
          <w:ilvl w:val="0"/>
          <w:numId w:val="2"/>
        </w:numPr>
        <w:spacing w:after="40" w:before="40"/>
      </w:pPr>
      <w:r>
        <w:rPr>
          <w:sz w:val="22"/>
          <w:szCs w:val="22"/>
        </w:rPr>
        <w:t xml:space="preserve">Forum comunitar moderat — un spațiu sigur pentru utilizatori să se conecteze între ei.</w:t>
      </w:r>
    </w:p>
    <w:p>
      <w:pPr>
        <w:pStyle w:val="ListParagraph"/>
        <w:numPr>
          <w:ilvl w:val="0"/>
          <w:numId w:val="2"/>
        </w:numPr>
        <w:spacing w:after="40" w:before="40"/>
      </w:pPr>
      <w:r>
        <w:rPr>
          <w:sz w:val="22"/>
          <w:szCs w:val="22"/>
        </w:rPr>
        <w:t xml:space="preserve">Tehnologie open-source (Flet, Python) — care permite contribuții ulterioare ale comunității.</w:t>
      </w:r>
    </w:p>
    <w:p>
      <w:pPr>
        <w:pStyle w:val="Heading1"/>
        <w:spacing w:after="200" w:before="360"/>
      </w:pPr>
      <w:r>
        <w:t xml:space="preserve">6. Fezabilitate și public țintă</w:t>
      </w:r>
    </w:p>
    <w:p>
      <w:pPr>
        <w:pStyle w:val="Heading3"/>
        <w:spacing w:after="120" w:before="200"/>
      </w:pPr>
      <w:r>
        <w:t xml:space="preserve">6.1. Fezabilitatea proiectului pe termen scurt</w:t>
      </w:r>
    </w:p>
    <w:p>
      <w:pPr>
        <w:spacing w:after="80" w:before="80"/>
        <w:jc w:val="both"/>
      </w:pPr>
      <w:r>
        <w:rPr>
          <w:sz w:val="22"/>
          <w:szCs w:val="22"/>
        </w:rPr>
        <w:t xml:space="preserve">Aplicația funcționează deja la stadiul de prototip avansat. Tehnologiile alese (Python, Flet) sunt mature, stabile și gratuite, ceea ce înseamnă că nu există bariere tehnologice pentru dezvoltarea ulterioară. Echipa are toate competențele necesare (dezvoltare, design, validare cu utilizatori) și a demonstrat capacitatea de a livra prin participarea la Technovation Girls și prin construirea unei prezențe pe Instagram.</w:t>
      </w:r>
    </w:p>
    <w:p>
      <w:pPr>
        <w:pStyle w:val="Heading3"/>
        <w:spacing w:after="120" w:before="200"/>
      </w:pPr>
      <w:r>
        <w:t xml:space="preserve">6.2. Fezabilitatea pe termen lung</w:t>
      </w:r>
    </w:p>
    <w:p>
      <w:pPr>
        <w:spacing w:after="80" w:before="80"/>
        <w:jc w:val="both"/>
      </w:pPr>
      <w:r>
        <w:rPr>
          <w:sz w:val="22"/>
          <w:szCs w:val="22"/>
        </w:rPr>
        <w:t xml:space="preserve">Pe termen lung, sustenabilitatea proiectului poate fi asigurată prin: parteneriate cu școli speciale și ONG-uri care pot funcționa ca multiplicator; granturi pentru proiecte de impact social (există numeroase programe europene și naționale care finanțează inițiative în zona sănătății mintale și a accesibilității); donații voluntare din partea utilizatorilor; opțional, o versiune premium pentru școli care să includă funcționalități de administrare pentru profesori (fără a afecta accesul gratuit al copiilor).</w:t>
      </w:r>
    </w:p>
    <w:p>
      <w:pPr>
        <w:pStyle w:val="Heading3"/>
        <w:spacing w:after="120" w:before="200"/>
      </w:pPr>
      <w:r>
        <w:t xml:space="preserve">6.3. Dimensiunea publicului țintă</w:t>
      </w:r>
    </w:p>
    <w:p>
      <w:pPr>
        <w:spacing w:after="80" w:before="80"/>
        <w:jc w:val="both"/>
      </w:pPr>
      <w:r>
        <w:rPr>
          <w:sz w:val="22"/>
          <w:szCs w:val="22"/>
        </w:rPr>
        <w:t xml:space="preserve">Conform datelor Institutului Național de Statistică, în România există peste 75.000 de copii cu dizabilități înscriși în învățământul preuniversitar. Rata anxietății în această populație este estimată la peste 30% conform studiilor internaționale. Aceasta înseamnă un public țintă potențial de aproximativ 22.000-25.000 de copii în România, cifră care crește semnificativ dacă includem familiile, profesorii și consilierii școlari. Pe plan global, populația țintă este de ordinul milioanelor.</w:t>
      </w:r>
    </w:p>
    <w:p>
      <w:pPr>
        <w:pStyle w:val="Heading1"/>
        <w:spacing w:after="200" w:before="360"/>
      </w:pPr>
      <w:r>
        <w:t xml:space="preserve">7. Surse</w:t>
      </w:r>
    </w:p>
    <w:p>
      <w:pPr>
        <w:spacing w:after="80" w:before="80"/>
        <w:jc w:val="both"/>
      </w:pPr>
      <w:r>
        <w:rPr>
          <w:sz w:val="22"/>
          <w:szCs w:val="22"/>
        </w:rPr>
        <w:t xml:space="preserve">Această analiză a fost realizată folosind următoarele surse:</w:t>
      </w:r>
    </w:p>
    <w:p>
      <w:pPr>
        <w:pStyle w:val="ListParagraph"/>
        <w:numPr>
          <w:ilvl w:val="0"/>
          <w:numId w:val="2"/>
        </w:numPr>
        <w:spacing w:after="40" w:before="40"/>
      </w:pPr>
      <w:r>
        <w:rPr>
          <w:sz w:val="22"/>
          <w:szCs w:val="22"/>
        </w:rPr>
        <w:t xml:space="preserve">Site-uri oficiale ale aplicațiilor concurente (calm.com, headspace.com, wysa.com, anxietycanada.com/resources/mindshift-cbt/).</w:t>
      </w:r>
    </w:p>
    <w:p>
      <w:pPr>
        <w:pStyle w:val="ListParagraph"/>
        <w:numPr>
          <w:ilvl w:val="0"/>
          <w:numId w:val="2"/>
        </w:numPr>
        <w:spacing w:after="40" w:before="40"/>
      </w:pPr>
      <w:r>
        <w:rPr>
          <w:sz w:val="22"/>
          <w:szCs w:val="22"/>
        </w:rPr>
        <w:t xml:space="preserve">Apple App Store și Google Play Store — pentru descrieri oficiale, recenzii și informații despre accesibilitate.</w:t>
      </w:r>
    </w:p>
    <w:p>
      <w:pPr>
        <w:pStyle w:val="ListParagraph"/>
        <w:numPr>
          <w:ilvl w:val="0"/>
          <w:numId w:val="2"/>
        </w:numPr>
        <w:spacing w:after="40" w:before="40"/>
      </w:pPr>
      <w:r>
        <w:rPr>
          <w:sz w:val="22"/>
          <w:szCs w:val="22"/>
        </w:rPr>
        <w:t xml:space="preserve">Declarația de accesibilitate Wysa (wysa.com/accessibility-statement).</w:t>
      </w:r>
    </w:p>
    <w:p>
      <w:pPr>
        <w:pStyle w:val="ListParagraph"/>
        <w:numPr>
          <w:ilvl w:val="0"/>
          <w:numId w:val="2"/>
        </w:numPr>
        <w:spacing w:after="40" w:before="40"/>
      </w:pPr>
      <w:r>
        <w:rPr>
          <w:sz w:val="22"/>
          <w:szCs w:val="22"/>
        </w:rPr>
        <w:t xml:space="preserve">Date statistice de la Institutul Național de Statistică și de la Organizația Mondială a Sănătății privind prevalența anxietății la copii.</w:t>
      </w:r>
    </w:p>
    <w:p>
      <w:pPr>
        <w:pStyle w:val="ListParagraph"/>
        <w:numPr>
          <w:ilvl w:val="0"/>
          <w:numId w:val="2"/>
        </w:numPr>
        <w:spacing w:after="40" w:before="40"/>
      </w:pPr>
      <w:r>
        <w:rPr>
          <w:sz w:val="22"/>
          <w:szCs w:val="22"/>
        </w:rPr>
        <w:t xml:space="preserve">Consultări cu o consilieră școlară și o studentă la psihologie.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5B5FE6"/>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1E2140"/>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2026-05-14T17:29:59.496Z</dcterms:created>
  <dcterms:modified xsi:type="dcterms:W3CDTF">2026-05-14T17:29:59.496Z</dcterms:modified>
</cp:coreProperties>
</file>

<file path=docProps/custom.xml><?xml version="1.0" encoding="utf-8"?>
<Properties xmlns="http://schemas.openxmlformats.org/officeDocument/2006/custom-properties" xmlns:vt="http://schemas.openxmlformats.org/officeDocument/2006/docPropsVTypes"/>
</file>