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初始化SqlSessionFactory，初始化SqlSessionFactory时会先初始化Configuration.java 这个核心配置。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在SqlSessionFactoryBuilder类中，通过构建XMLConfigBuilder在初始化Configuration和解析mybatis配置文件。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533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1087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解析配置文件方法是在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类中的parse方法，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5271135" cy="13315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解析mapper.xml文件，是在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mapperElement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方法，解析xml核心类是XMLMapperBuilder类中parse方法负责解析.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4954905" cy="154368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在解析mapper.xml文件时,就会根据xml文件中 namespace (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mapper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"com.chirq.study.mybatis.mapper.UserMapper"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/>
          <w:lang w:val="en-US" w:eastAsia="zh-CN"/>
        </w:rPr>
        <w:t>)节点对应的接口,创建代理工厂类,详细查看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XMLMapperBuilder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.Java中parse方法执行的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bindMapperForNamespace();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方法: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5271770" cy="261556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addMapper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boundType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方法将创建的代理工厂对象存入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在创建代理工厂的同时会解析mapper接口中带注解的方法,方法通过注解实现的则通过MapperAnnotationBuilder类来负责解析.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 </w:t>
      </w:r>
      <w:r>
        <w:drawing>
          <wp:inline distT="0" distB="0" distL="114300" distR="114300">
            <wp:extent cx="5267960" cy="154051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解析出来的方法都存放于Configuration类中的Map&lt;String, MappedStatement&gt; mappedStatements;缓存MAP中.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类图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3661410"/>
            <wp:effectExtent l="0" t="0" r="139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获取SqlSession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SqlSession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openSession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获取SqlSession过程中,会先获取数据库连接,开启事务,创建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(执行者).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UserMapper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.getMapper(UserMapper.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获取具体sql执行者,这里就用到了在初始化过程中创建的代理工厂类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ab/>
      </w:r>
      <w:r>
        <w:drawing>
          <wp:inline distT="0" distB="0" distL="114300" distR="114300">
            <wp:extent cx="4008755" cy="86868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类中的MAP缓存中获取事先创建的代理工厂类,然后通过工厂类创建具体的代理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48018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执行SQL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.selectByName(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"张三"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具体执行操作的时序图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4424045"/>
            <wp:effectExtent l="0" t="0" r="13970" b="10795"/>
            <wp:docPr id="12" name="图片 1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查看具体怎么执行的需要从代理类入手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类中的invoke方法看起.</w:t>
      </w:r>
    </w:p>
    <w:p>
      <w:pPr>
        <w:numPr>
          <w:ilvl w:val="0"/>
          <w:numId w:val="4"/>
        </w:numPr>
        <w:ind w:left="84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参数映射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在执行器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SimpleExecutor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doQuery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方法时,先生成查询预编译处理者StatementHandler类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61255" cy="1638300"/>
            <wp:effectExtent l="0" t="0" r="698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如PreparedStatementHandler类,然后由PreparedStatementHandler调用参数绑定类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="Î¢ÈíÑÅºÚ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DefaultParameterHandler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,参数绑定类会执行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setParameters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方法进行参数绑定.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预编译处理者</w:t>
      </w: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类执行query方法.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执行SQL,然后将结果集交给结果映射处理类.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848360"/>
            <wp:effectExtent l="0" t="0" r="571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结果映射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结果集处理类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handleResultSets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方法.再逐条进入到handleResultSet方法，handleRowValues方法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结果处理类遍历结果,将查询数据和字段类型转换成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ResultSetWrapper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然后从xml文件中获取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ResultMap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配置,即数据库字段到实体配置.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类的handleResultSet方法,该方法将查询结果转换成Java类.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核心方法getRowValue,从查询结果集中获取一行记录并转换成响应JavaBean.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核心方法createResultObject,该方法通过反射生成查询结果要转换成的对象,方法内部调用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DefaultObjectFactory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create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方法反射生成对象.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,该方法只要功能时从查询结果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中获取想要的值.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applyPropertyMappings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,该方法是将调用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方法，将</w:t>
      </w:r>
      <w:bookmarkStart w:id="0" w:name="_GoBack"/>
      <w:bookmarkEnd w:id="0"/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获取的值,赋值到createResultObject生成的对象中.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包结构分析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org.apache.ibatis.annotations,注解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1760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binding包,是动态代理相关操作类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1097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builder包,是解析xml配置文件,注解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cache缓存所在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datasource数据源,连接池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executor执行器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io文件流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mapping包,映射器所在包,从配置文件注解中解析出来的映射器类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ognl包,ognl表达式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parsing,解析xml工具类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plugn,插件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Reflection,Java反射,将查询结果动态赋值给java实体等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scription,动态SQL脚本处理,例如&lt;set&gt;&lt;where&gt;脚本解析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session,核心包,启动入口,核心SqlSession,SqlSessionFactiry类等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transaction,事务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type,强大的类型映射类,从Java到PreparedStatement,从ResultSet到Java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92145"/>
            <wp:effectExtent l="0" t="0" r="254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mybatis-spring源码赏析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b/>
          <w:bCs/>
        </w:rPr>
      </w:pPr>
    </w:p>
    <w:p>
      <w:pPr>
        <w:numPr>
          <w:ilvl w:val="0"/>
          <w:numId w:val="8"/>
        </w:numPr>
        <w:tabs>
          <w:tab w:val="left" w:pos="319"/>
        </w:tabs>
        <w:ind w:left="845" w:leftChars="0" w:hanging="425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Mybatis与spring集成，提供</w:t>
      </w:r>
      <w:r>
        <w:rPr>
          <w:rFonts w:hint="eastAsia" w:eastAsiaTheme="minorEastAsia"/>
          <w:b w:val="0"/>
          <w:bCs w:val="0"/>
          <w:lang w:val="en-US" w:eastAsia="zh-CN"/>
        </w:rPr>
        <w:t>SqlSessionFactoryBean</w:t>
      </w:r>
      <w:r>
        <w:rPr>
          <w:rFonts w:hint="eastAsia"/>
          <w:b w:val="0"/>
          <w:bCs w:val="0"/>
          <w:lang w:val="en-US" w:eastAsia="zh-CN"/>
        </w:rPr>
        <w:t>类来初始化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buildSqlSessionFactory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方法中，由spring来接管事务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6254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解析mapper.xml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5273675" cy="641985"/>
            <wp:effectExtent l="0" t="0" r="1460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MapperScannerConfigurer</w:t>
      </w:r>
      <w:r>
        <w:rPr>
          <w:rFonts w:hint="eastAsia"/>
          <w:lang w:val="en-US" w:eastAsia="zh-CN"/>
        </w:rPr>
        <w:t>来创建mapping bean实例，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557780"/>
            <wp:effectExtent l="0" t="0" r="635" b="25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MapperScannerConfigurer实现了postProcessBeanDefinitionRegistry方法，将已经注册好的Bean重新替换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ClassPathMapperScanner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类作用：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ClassPathMapperScanner的doScan方法,会将mapper包中的类替换成MapperFactoryBean，MapperFactoryBean实现了FactoryBean接口，每次生成对应Bean的时候，其实调用的FactoryBean的getObject方法。也就是说我们在注入mappler的时候，其实调用的是MapperFactoryBean的getObject方法，而这个方法会生成mappler接口的代理类MapperProxy的实例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22215" cy="1005840"/>
            <wp:effectExtent l="0" t="0" r="698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此处需要注意的是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MapperFactoryBean&lt;T&gt;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extends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SqlSessionDaoSupport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implements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FactoryBean&lt;T&gt;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,MapperFactoryBean还继承了SqlSessionDaoSupport，该类偷梁换柱的把SqlSession替换成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详细查看getSqlSession方法。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作用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该类改用动态代理，在具体生成mybatis的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DefaultSqlSession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执行mybatis操作前获取数据库连接和事务，在mybatis操作后执行资源释放，就不用再代码层面手动执行session.close();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2405" cy="3566795"/>
            <wp:effectExtent l="0" t="0" r="63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2135505"/>
            <wp:effectExtent l="0" t="0" r="6985" b="1333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Tk.mybatis(通用mybatis)源码赏析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通用方法初始化方法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在初始化mapper.xml过程中在MapperRegistry类中执行addMapper方法时会扫描mapper接口中的方法注解</w:t>
      </w:r>
    </w:p>
    <w:p>
      <w:pPr>
        <w:widowControl w:val="0"/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5271770" cy="2041525"/>
            <wp:effectExtent l="0" t="0" r="1270" b="63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eastAsia="Î¢ÈíÑÅºÚ"/>
          <w:lang w:val="en-US" w:eastAsia="zh-CN"/>
        </w:rPr>
      </w:pPr>
      <w:r>
        <w:rPr>
          <w:rFonts w:hint="eastAsia"/>
          <w:lang w:val="en-US" w:eastAsia="zh-CN"/>
        </w:rPr>
        <w:t>在获取该mapper的所有方法时会把mapper继承的父类方法也获取到，然后解析方法上的@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InsertProvider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/@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SelectProvider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等注解，然后生成该方法对应的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MappedStatement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对象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执行器触发方式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tk.mybatis.spring.mapper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MapperFactoryBean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类继承了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SqlSessionDaoSupport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和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DaoSupport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类，重写了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()方法。在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()方法中进行通用方法初始化。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在DaoSupport类中设置完属性后的回调方法中触发了checkDaoConfig(),方法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2573655"/>
            <wp:effectExtent l="0" t="0" r="4445" b="190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Î¢ÈíÑÅºÚ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checkDaoConfig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()方法中执行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MapperHelper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processConfiguration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方法。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回调用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setSqlSource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</w:t>
      </w:r>
    </w:p>
    <w:p>
      <w:pPr>
        <w:widowControl w:val="0"/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5267325" cy="3241675"/>
            <wp:effectExtent l="0" t="0" r="5715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setSqlSource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方法会先从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MappedStatement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获取方法，然后通过方法反射，执行具体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子类如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selectOne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方法对应的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BaseSelectProvider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类。然后通过扫描实体中配置的注解而得到具体sql</w:t>
      </w:r>
    </w:p>
    <w:p>
      <w:pPr>
        <w:widowControl w:val="0"/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5269230" cy="1715135"/>
            <wp:effectExtent l="0" t="0" r="3810" b="698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最后生成新的SqlSource替换原有缓存中的Sqlsource.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在执行具体父类提供的方法时，就像是通过在xml中添加对应方法一样。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AE5BC"/>
    <w:multiLevelType w:val="singleLevel"/>
    <w:tmpl w:val="8C1AE5B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AB32140F"/>
    <w:multiLevelType w:val="multilevel"/>
    <w:tmpl w:val="AB32140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2">
    <w:nsid w:val="C6B0BA61"/>
    <w:multiLevelType w:val="multilevel"/>
    <w:tmpl w:val="C6B0BA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F36CBA4"/>
    <w:multiLevelType w:val="singleLevel"/>
    <w:tmpl w:val="0F36CB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6C72A5"/>
    <w:multiLevelType w:val="singleLevel"/>
    <w:tmpl w:val="126C72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2D765E5"/>
    <w:multiLevelType w:val="singleLevel"/>
    <w:tmpl w:val="12D76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4AE8D7F"/>
    <w:multiLevelType w:val="singleLevel"/>
    <w:tmpl w:val="14AE8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306C8C66"/>
    <w:multiLevelType w:val="singleLevel"/>
    <w:tmpl w:val="306C8C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519142AE"/>
    <w:multiLevelType w:val="singleLevel"/>
    <w:tmpl w:val="519142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1D53"/>
    <w:rsid w:val="03096BE6"/>
    <w:rsid w:val="031F24DF"/>
    <w:rsid w:val="03BA1B1E"/>
    <w:rsid w:val="03D94620"/>
    <w:rsid w:val="06BB64C5"/>
    <w:rsid w:val="06C01538"/>
    <w:rsid w:val="06CF48E4"/>
    <w:rsid w:val="07191975"/>
    <w:rsid w:val="07322CBF"/>
    <w:rsid w:val="08AA63C1"/>
    <w:rsid w:val="08BC4CF2"/>
    <w:rsid w:val="09170906"/>
    <w:rsid w:val="09837FED"/>
    <w:rsid w:val="09D420DD"/>
    <w:rsid w:val="09D56309"/>
    <w:rsid w:val="09E90AC9"/>
    <w:rsid w:val="09F72025"/>
    <w:rsid w:val="0A6003B0"/>
    <w:rsid w:val="0AB21172"/>
    <w:rsid w:val="0C8976A9"/>
    <w:rsid w:val="0CFB399A"/>
    <w:rsid w:val="0D4041A4"/>
    <w:rsid w:val="0DC47AB9"/>
    <w:rsid w:val="0E237DF7"/>
    <w:rsid w:val="0EE22938"/>
    <w:rsid w:val="0F4C0BF1"/>
    <w:rsid w:val="0F9F512E"/>
    <w:rsid w:val="0FBC5C60"/>
    <w:rsid w:val="10101613"/>
    <w:rsid w:val="106342C4"/>
    <w:rsid w:val="108F382D"/>
    <w:rsid w:val="109F35CC"/>
    <w:rsid w:val="10D431E3"/>
    <w:rsid w:val="1109202C"/>
    <w:rsid w:val="116F0050"/>
    <w:rsid w:val="122327D8"/>
    <w:rsid w:val="1238653A"/>
    <w:rsid w:val="12582251"/>
    <w:rsid w:val="12853201"/>
    <w:rsid w:val="1287160C"/>
    <w:rsid w:val="136720A1"/>
    <w:rsid w:val="146373E7"/>
    <w:rsid w:val="14E125BD"/>
    <w:rsid w:val="17D45ADE"/>
    <w:rsid w:val="182F53CA"/>
    <w:rsid w:val="197B73FB"/>
    <w:rsid w:val="1B481B1E"/>
    <w:rsid w:val="1B4952CE"/>
    <w:rsid w:val="1BBC3DFA"/>
    <w:rsid w:val="1C3A0CF2"/>
    <w:rsid w:val="1CA1043C"/>
    <w:rsid w:val="1D7867A6"/>
    <w:rsid w:val="1DCB114C"/>
    <w:rsid w:val="1E3C1AEE"/>
    <w:rsid w:val="1E954B5A"/>
    <w:rsid w:val="1F3674D8"/>
    <w:rsid w:val="209B2730"/>
    <w:rsid w:val="21272BCB"/>
    <w:rsid w:val="21291236"/>
    <w:rsid w:val="21B801E9"/>
    <w:rsid w:val="23133451"/>
    <w:rsid w:val="231E5EF9"/>
    <w:rsid w:val="237D519C"/>
    <w:rsid w:val="258C3697"/>
    <w:rsid w:val="25B360AB"/>
    <w:rsid w:val="261A0233"/>
    <w:rsid w:val="262804F9"/>
    <w:rsid w:val="264A3F53"/>
    <w:rsid w:val="26B23F1F"/>
    <w:rsid w:val="26C85A30"/>
    <w:rsid w:val="284426C4"/>
    <w:rsid w:val="29330437"/>
    <w:rsid w:val="296B2F8C"/>
    <w:rsid w:val="29C16C66"/>
    <w:rsid w:val="2A1A75BA"/>
    <w:rsid w:val="2A96631D"/>
    <w:rsid w:val="2B16507E"/>
    <w:rsid w:val="2C41687D"/>
    <w:rsid w:val="2C5D2777"/>
    <w:rsid w:val="2D2D5EB3"/>
    <w:rsid w:val="2D3C5131"/>
    <w:rsid w:val="2E1954CB"/>
    <w:rsid w:val="2E4D048E"/>
    <w:rsid w:val="2EDE0F9E"/>
    <w:rsid w:val="2F426FBB"/>
    <w:rsid w:val="2F911045"/>
    <w:rsid w:val="2FA54910"/>
    <w:rsid w:val="3011292E"/>
    <w:rsid w:val="302414EF"/>
    <w:rsid w:val="312B0903"/>
    <w:rsid w:val="32985BB7"/>
    <w:rsid w:val="32C66FAB"/>
    <w:rsid w:val="32D2052D"/>
    <w:rsid w:val="3457769F"/>
    <w:rsid w:val="347A0DCB"/>
    <w:rsid w:val="34860812"/>
    <w:rsid w:val="34C13676"/>
    <w:rsid w:val="35A161C6"/>
    <w:rsid w:val="36D511DA"/>
    <w:rsid w:val="37FA09EC"/>
    <w:rsid w:val="381C130B"/>
    <w:rsid w:val="38476798"/>
    <w:rsid w:val="38C156B6"/>
    <w:rsid w:val="38EA2172"/>
    <w:rsid w:val="393F5A6F"/>
    <w:rsid w:val="39AE164F"/>
    <w:rsid w:val="39C2448E"/>
    <w:rsid w:val="3A134252"/>
    <w:rsid w:val="3A3F2424"/>
    <w:rsid w:val="3A6D6550"/>
    <w:rsid w:val="3A897EBD"/>
    <w:rsid w:val="3AC76F19"/>
    <w:rsid w:val="3B823E30"/>
    <w:rsid w:val="3BAE3BA8"/>
    <w:rsid w:val="3BC11DC1"/>
    <w:rsid w:val="3BD1231D"/>
    <w:rsid w:val="3C8B39DC"/>
    <w:rsid w:val="3CA92CB5"/>
    <w:rsid w:val="3CD63609"/>
    <w:rsid w:val="3DBD211C"/>
    <w:rsid w:val="3E0A2150"/>
    <w:rsid w:val="3E146C43"/>
    <w:rsid w:val="3ED770AF"/>
    <w:rsid w:val="3F3620C9"/>
    <w:rsid w:val="3F5B4D95"/>
    <w:rsid w:val="4089270A"/>
    <w:rsid w:val="41306B7D"/>
    <w:rsid w:val="41BE3BC8"/>
    <w:rsid w:val="425E2FED"/>
    <w:rsid w:val="432F619B"/>
    <w:rsid w:val="4368579A"/>
    <w:rsid w:val="438A0646"/>
    <w:rsid w:val="43EF36AE"/>
    <w:rsid w:val="44AA4201"/>
    <w:rsid w:val="44FB0BA7"/>
    <w:rsid w:val="46830B87"/>
    <w:rsid w:val="48713732"/>
    <w:rsid w:val="493637CA"/>
    <w:rsid w:val="494939AD"/>
    <w:rsid w:val="49CD3EA0"/>
    <w:rsid w:val="4C4C5093"/>
    <w:rsid w:val="4D7B6D32"/>
    <w:rsid w:val="4D816A16"/>
    <w:rsid w:val="4DDE3346"/>
    <w:rsid w:val="4DF55045"/>
    <w:rsid w:val="4E6D1FD2"/>
    <w:rsid w:val="4EC774F4"/>
    <w:rsid w:val="501972E1"/>
    <w:rsid w:val="50A01EAF"/>
    <w:rsid w:val="51753E33"/>
    <w:rsid w:val="517C482B"/>
    <w:rsid w:val="51BF028A"/>
    <w:rsid w:val="51E04D44"/>
    <w:rsid w:val="51F51AE5"/>
    <w:rsid w:val="523B5D12"/>
    <w:rsid w:val="530F5B36"/>
    <w:rsid w:val="5335118F"/>
    <w:rsid w:val="53380E52"/>
    <w:rsid w:val="534A05B7"/>
    <w:rsid w:val="53E35215"/>
    <w:rsid w:val="5527553A"/>
    <w:rsid w:val="55750FAD"/>
    <w:rsid w:val="559578E0"/>
    <w:rsid w:val="568B318E"/>
    <w:rsid w:val="57F12C3C"/>
    <w:rsid w:val="59D321A2"/>
    <w:rsid w:val="5B135B8A"/>
    <w:rsid w:val="5B2A1CF2"/>
    <w:rsid w:val="5BE929DF"/>
    <w:rsid w:val="5CCE6CB9"/>
    <w:rsid w:val="5CF13821"/>
    <w:rsid w:val="5E407AAB"/>
    <w:rsid w:val="5E73621D"/>
    <w:rsid w:val="5E98164F"/>
    <w:rsid w:val="5F3F5E49"/>
    <w:rsid w:val="5FAA4F42"/>
    <w:rsid w:val="5FB949D9"/>
    <w:rsid w:val="5FC024AE"/>
    <w:rsid w:val="60375989"/>
    <w:rsid w:val="604F60CD"/>
    <w:rsid w:val="60A91B66"/>
    <w:rsid w:val="61604DEA"/>
    <w:rsid w:val="626060EE"/>
    <w:rsid w:val="631A5734"/>
    <w:rsid w:val="63EF7FB4"/>
    <w:rsid w:val="649014C5"/>
    <w:rsid w:val="64EB5728"/>
    <w:rsid w:val="651F2180"/>
    <w:rsid w:val="65622A55"/>
    <w:rsid w:val="669C5AB8"/>
    <w:rsid w:val="66BC2060"/>
    <w:rsid w:val="66E32411"/>
    <w:rsid w:val="68293BDD"/>
    <w:rsid w:val="682B362F"/>
    <w:rsid w:val="68C85072"/>
    <w:rsid w:val="68DD72DB"/>
    <w:rsid w:val="693828D7"/>
    <w:rsid w:val="69C626D7"/>
    <w:rsid w:val="6A3756D2"/>
    <w:rsid w:val="6A464B4B"/>
    <w:rsid w:val="6A661036"/>
    <w:rsid w:val="6A84404D"/>
    <w:rsid w:val="6A923AAB"/>
    <w:rsid w:val="6AE36A71"/>
    <w:rsid w:val="6B052280"/>
    <w:rsid w:val="6B7B7159"/>
    <w:rsid w:val="6BD75154"/>
    <w:rsid w:val="6C4004AC"/>
    <w:rsid w:val="6DB96935"/>
    <w:rsid w:val="6DE55A68"/>
    <w:rsid w:val="6E58528C"/>
    <w:rsid w:val="6F886CD6"/>
    <w:rsid w:val="6F8D7513"/>
    <w:rsid w:val="70835970"/>
    <w:rsid w:val="726D3CE2"/>
    <w:rsid w:val="731220AA"/>
    <w:rsid w:val="73412814"/>
    <w:rsid w:val="7394344B"/>
    <w:rsid w:val="74032C49"/>
    <w:rsid w:val="74154E29"/>
    <w:rsid w:val="747C4EF4"/>
    <w:rsid w:val="75195E54"/>
    <w:rsid w:val="75B25451"/>
    <w:rsid w:val="75FC3929"/>
    <w:rsid w:val="765E783B"/>
    <w:rsid w:val="76605A0C"/>
    <w:rsid w:val="76824346"/>
    <w:rsid w:val="76A72BF2"/>
    <w:rsid w:val="784B5698"/>
    <w:rsid w:val="7891546F"/>
    <w:rsid w:val="79837E25"/>
    <w:rsid w:val="79EC12FA"/>
    <w:rsid w:val="7A004D4A"/>
    <w:rsid w:val="7A761F44"/>
    <w:rsid w:val="7A870639"/>
    <w:rsid w:val="7AA9026C"/>
    <w:rsid w:val="7AC0020A"/>
    <w:rsid w:val="7B6A1A6C"/>
    <w:rsid w:val="7B990643"/>
    <w:rsid w:val="7C514E38"/>
    <w:rsid w:val="7C757CBC"/>
    <w:rsid w:val="7C81790B"/>
    <w:rsid w:val="7C911623"/>
    <w:rsid w:val="7CF22B5D"/>
    <w:rsid w:val="7D3F25D7"/>
    <w:rsid w:val="7E2128FF"/>
    <w:rsid w:val="7E316388"/>
    <w:rsid w:val="7F5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2018-06-15T07:02:51Z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