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初始化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</w:pPr>
      <w:r>
        <w:rPr>
          <w:rFonts w:hint="eastAsia"/>
          <w:lang w:val="en-US" w:eastAsia="zh-CN"/>
        </w:rPr>
        <w:t>初始化SqlSessionFactory，初始化SqlSessionFactory时会先初始化Configuration.java 这个核心配置。</w:t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在SqlSessionFactoryBuilder类中，通过构建XMLConfigBuilder在初始化Configuration和解析mybatis配置文件。</w:t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68595" cy="5334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2405" cy="110871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解析配置文件方法是在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XMLConfigBuilder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类中的parse方法，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</w:pPr>
      <w:r>
        <w:drawing>
          <wp:inline distT="0" distB="0" distL="114300" distR="114300">
            <wp:extent cx="5271135" cy="1331595"/>
            <wp:effectExtent l="0" t="0" r="19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</w:pPr>
      <w:r>
        <w:rPr>
          <w:rFonts w:hint="eastAsia"/>
          <w:lang w:val="en-US" w:eastAsia="zh-CN"/>
        </w:rPr>
        <w:t>解析mapper.xml文件，是在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XMLConfigBuilder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mapperElement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方法，解析xml核心类是XMLMapperBuilder类中parse方法负责解析.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  </w:t>
      </w:r>
      <w:r>
        <w:drawing>
          <wp:inline distT="0" distB="0" distL="114300" distR="114300">
            <wp:extent cx="4954905" cy="1543685"/>
            <wp:effectExtent l="0" t="0" r="1333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 在解析mapper.xml文件时,就会根据xml文件中 namespace (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mapper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namespace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"com.chirq.study.mybatis.mapper.UserMapper"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&gt;</w:t>
      </w:r>
      <w:r>
        <w:rPr>
          <w:rFonts w:hint="eastAsia"/>
          <w:lang w:val="en-US" w:eastAsia="zh-CN"/>
        </w:rPr>
        <w:t>)节点对应的接口,创建代理工厂类,详细查看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XMLMapperBuilder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.Java中parse方法执行的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bindMapperForNamespace();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方法:</w:t>
      </w:r>
    </w:p>
    <w:p>
      <w:pPr>
        <w:widowControl w:val="0"/>
        <w:numPr>
          <w:ilvl w:val="0"/>
          <w:numId w:val="0"/>
        </w:numPr>
        <w:ind w:left="480" w:leftChars="0" w:hanging="480" w:hangingChars="200"/>
        <w:jc w:val="both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  </w:t>
      </w:r>
      <w:r>
        <w:drawing>
          <wp:inline distT="0" distB="0" distL="114300" distR="114300">
            <wp:extent cx="5271770" cy="2615565"/>
            <wp:effectExtent l="0" t="0" r="12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Î¢ÈíÑÅºÚ" w:hAnsi="Î¢ÈíÑÅºÚ" w:eastAsia="Î¢ÈíÑÅºÚ"/>
          <w:color w:val="0000C0"/>
          <w:sz w:val="24"/>
          <w:highlight w:val="white"/>
        </w:rPr>
        <w:t>configuration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.</w:t>
      </w:r>
      <w:r>
        <w:rPr>
          <w:rFonts w:hint="eastAsia" w:ascii="Î¢ÈíÑÅºÚ" w:hAnsi="Î¢ÈíÑÅºÚ" w:eastAsia="Î¢ÈíÑÅºÚ"/>
          <w:color w:val="000000"/>
          <w:sz w:val="24"/>
          <w:highlight w:val="lightGray"/>
        </w:rPr>
        <w:t>addMapper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(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boundType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);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方法将创建的代理工厂对象存入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MapperRegistry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类中的MAP缓存中.</w:t>
      </w:r>
    </w:p>
    <w:p>
      <w:pPr>
        <w:widowControl w:val="0"/>
        <w:numPr>
          <w:ilvl w:val="0"/>
          <w:numId w:val="0"/>
        </w:numPr>
        <w:ind w:left="480" w:leftChars="0" w:hanging="480" w:hangingChars="20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  在创建代理工厂的同时会解析mapper接口中带注解的方法,方法通过注解实现的则通过MapperAnnotationBuilder类来负责解析.</w:t>
      </w:r>
    </w:p>
    <w:p>
      <w:pPr>
        <w:widowControl w:val="0"/>
        <w:numPr>
          <w:ilvl w:val="0"/>
          <w:numId w:val="0"/>
        </w:numPr>
        <w:ind w:left="480" w:leftChars="0" w:hanging="480" w:hangingChars="200"/>
        <w:jc w:val="both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   </w:t>
      </w:r>
      <w:r>
        <w:drawing>
          <wp:inline distT="0" distB="0" distL="114300" distR="114300">
            <wp:extent cx="5267960" cy="1540510"/>
            <wp:effectExtent l="0" t="0" r="508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解析出来的方法都存放于Configuration类中的Map&lt;String, MappedStatement&gt; mappedStatements;缓存MAP中.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</w:pPr>
      <w:r>
        <w:rPr>
          <w:rFonts w:hint="eastAsia"/>
          <w:lang w:val="en-US" w:eastAsia="zh-CN"/>
        </w:rPr>
        <w:t>类图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4310" cy="3661410"/>
            <wp:effectExtent l="0" t="0" r="13970" b="1143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获取SqlSession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SqlSession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session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= </w:t>
      </w:r>
      <w:r>
        <w:rPr>
          <w:rFonts w:hint="eastAsia" w:ascii="Î¢ÈíÑÅºÚ" w:hAnsi="Î¢ÈíÑÅºÚ" w:eastAsia="Î¢ÈíÑÅºÚ"/>
          <w:color w:val="0000C0"/>
          <w:sz w:val="24"/>
          <w:highlight w:val="white"/>
        </w:rPr>
        <w:t>sqlSessionFactory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.</w:t>
      </w:r>
      <w:r>
        <w:rPr>
          <w:rFonts w:hint="eastAsia" w:ascii="Î¢ÈíÑÅºÚ" w:hAnsi="Î¢ÈíÑÅºÚ" w:eastAsia="Î¢ÈíÑÅºÚ"/>
          <w:color w:val="000000"/>
          <w:sz w:val="24"/>
          <w:highlight w:val="lightGray"/>
        </w:rPr>
        <w:t>openSession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();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获取SqlSession过程中,会先获取数据库连接,开启事务,创建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Executor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(执行者).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UserMapper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userMapper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session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.getMapper(UserMapper.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class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);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获取具体sql执行者,这里就用到了在初始化过程中创建的代理工厂类</w:t>
      </w:r>
    </w:p>
    <w:p>
      <w:pPr>
        <w:numPr>
          <w:ilvl w:val="0"/>
          <w:numId w:val="0"/>
        </w:numPr>
        <w:ind w:left="420" w:leftChars="0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ab/>
      </w:r>
      <w:r>
        <w:drawing>
          <wp:inline distT="0" distB="0" distL="114300" distR="114300">
            <wp:extent cx="4008755" cy="86868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MapperRegistry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类中的MAP缓存中获取事先创建的代理工厂类,然后通过工厂类创建具体的代理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MapperProxy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273040" cy="1480185"/>
            <wp:effectExtent l="0" t="0" r="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执行SQL</w:t>
      </w:r>
    </w:p>
    <w:p>
      <w:pPr>
        <w:numPr>
          <w:ilvl w:val="0"/>
          <w:numId w:val="4"/>
        </w:numPr>
        <w:ind w:left="845" w:leftChars="0" w:hanging="425" w:firstLineChars="0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4"/>
          <w:highlight w:val="lightGray"/>
        </w:rPr>
        <w:t>User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user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userMapper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.selectByName(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"张三"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);</w:t>
      </w:r>
    </w:p>
    <w:p>
      <w:pPr>
        <w:numPr>
          <w:ilvl w:val="0"/>
          <w:numId w:val="4"/>
        </w:numPr>
        <w:ind w:left="845" w:leftChars="0" w:hanging="425" w:firstLineChars="0"/>
      </w:pPr>
      <w:r>
        <w:rPr>
          <w:rFonts w:hint="eastAsia"/>
          <w:lang w:val="en-US" w:eastAsia="zh-CN"/>
        </w:rPr>
        <w:t>具体执行操作的时序图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4310" cy="4424045"/>
            <wp:effectExtent l="0" t="0" r="13970" b="10795"/>
            <wp:docPr id="12" name="图片 12" descr="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时序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</w:pPr>
      <w:r>
        <w:rPr>
          <w:rFonts w:hint="eastAsia"/>
          <w:lang w:val="en-US" w:eastAsia="zh-CN"/>
        </w:rPr>
        <w:t>查看具体怎么执行的需要从代理类入手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MapperProxy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类中的invoke方法看起.</w:t>
      </w:r>
    </w:p>
    <w:p>
      <w:pPr>
        <w:numPr>
          <w:ilvl w:val="0"/>
          <w:numId w:val="4"/>
        </w:numPr>
        <w:ind w:left="84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参数映射</w:t>
      </w:r>
    </w:p>
    <w:p>
      <w:pPr>
        <w:numPr>
          <w:ilvl w:val="0"/>
          <w:numId w:val="5"/>
        </w:numPr>
        <w:ind w:left="845" w:leftChars="0" w:hanging="425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在执行器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SimpleExecutor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执行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doQuery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方法时,先生成查询预编译处理者StatementHandler类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961255" cy="1638300"/>
            <wp:effectExtent l="0" t="0" r="6985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如PreparedStatementHandler类,然后由PreparedStatementHandler调用参数绑定类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eastAsia="Î¢ÈíÑÅºÚ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DefaultParameterHandler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,参数绑定类会执行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setParameters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方法进行参数绑定.</w:t>
      </w:r>
    </w:p>
    <w:p>
      <w:pPr>
        <w:numPr>
          <w:ilvl w:val="0"/>
          <w:numId w:val="5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预编译处理者</w:t>
      </w:r>
      <w:r>
        <w:rPr>
          <w:rFonts w:hint="eastAsia"/>
          <w:b w:val="0"/>
          <w:bCs w:val="0"/>
        </w:rPr>
        <w:t>PreparedStatementHandler</w:t>
      </w:r>
      <w:r>
        <w:rPr>
          <w:rFonts w:hint="eastAsia"/>
          <w:b w:val="0"/>
          <w:bCs w:val="0"/>
          <w:lang w:val="en-US" w:eastAsia="zh-CN"/>
        </w:rPr>
        <w:t>类执行query方法.</w:t>
      </w:r>
    </w:p>
    <w:p>
      <w:pPr>
        <w:numPr>
          <w:ilvl w:val="0"/>
          <w:numId w:val="0"/>
        </w:numPr>
        <w:ind w:left="420" w:leftChars="0"/>
        <w:rPr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</w:p>
    <w:p>
      <w:pPr>
        <w:numPr>
          <w:ilvl w:val="0"/>
          <w:numId w:val="5"/>
        </w:numPr>
        <w:ind w:left="845" w:leftChars="0" w:hanging="425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PreparedStatementHandler</w:t>
      </w:r>
      <w:r>
        <w:rPr>
          <w:rFonts w:hint="eastAsia"/>
          <w:b w:val="0"/>
          <w:bCs w:val="0"/>
          <w:lang w:val="en-US" w:eastAsia="zh-CN"/>
        </w:rPr>
        <w:t>执行SQL,然后将结果集交给结果映射处理类.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325" cy="848360"/>
            <wp:effectExtent l="0" t="0" r="5715" b="50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结果映射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结果集处理类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DefaultResultSetHandler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执行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handleResultSets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结果处理类遍历结果,将查询数据和字段类型转换成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ResultSetWrapper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然后从xml文件中获取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ResultMap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配置,即数据库字段到实体配置.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然后执行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DefaultResultSetHandler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类的handleResultSet方法,该方法将查询结果转换成Java类.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Î¢ÈíÑÅºÚ" w:hAnsi="Î¢ÈíÑÅºÚ" w:eastAsia="Î¢ÈíÑÅºÚ"/>
          <w:color w:val="000000"/>
          <w:sz w:val="24"/>
          <w:highlight w:val="white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核心方法getRowValue,从查询结果集中获取一行记录并转换成响应JavaBean.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核心方法createResultObject,该方法通过反射生成查询结果要转换成的对象,方法内部调用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DefaultObjectFactory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类的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create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方法反射生成对象.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核心方法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getPropertyMappingValue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,该方法只要功能时从查询结果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ResultSet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中获取想要的值.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核心方法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applyPropertyMappings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,该方法是将通过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getPropertyMappingValue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获取的值,赋值到createResultObject生成的对象中.</w:t>
      </w:r>
    </w:p>
    <w:p>
      <w:pPr>
        <w:numPr>
          <w:ilvl w:val="0"/>
          <w:numId w:val="0"/>
        </w:numPr>
        <w:ind w:leftChars="0"/>
        <w:rPr>
          <w:b/>
          <w:bCs/>
        </w:rPr>
      </w:pPr>
    </w:p>
    <w:p>
      <w:pPr>
        <w:numPr>
          <w:ilvl w:val="0"/>
          <w:numId w:val="0"/>
        </w:numPr>
        <w:ind w:leftChars="0"/>
        <w:rPr>
          <w:b/>
          <w:bCs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包结构分析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org.apache.ibatis.annotations,注解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08860" cy="17602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binding包,是动态代理相关操作类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76500" cy="10972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builder包,是解析xml配置文件,注解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cache缓存所在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datasource数据源,连接池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executor执行器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io文件流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mapping包,映射器所在包,从配置文件注解中解析出来的映射器类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ognl包,ognl表达式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parsing,解析xml工具类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plugn,插件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Reflection,Java反射,将查询结果动态赋值给java实体等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scription,动态SQL脚本处理,例如&lt;set&gt;&lt;where&gt;脚本解析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session,核心包,启动入口,核心SqlSession,SqlSessionFactiry类等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transaction,事务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type,强大的类型映射类,从Java到PreparedStatement,从ResultSet到Java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192145"/>
            <wp:effectExtent l="0" t="0" r="2540" b="825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mybatis-spring源码赏析</w:t>
      </w:r>
    </w:p>
    <w:p>
      <w:pPr>
        <w:numPr>
          <w:ilvl w:val="0"/>
          <w:numId w:val="0"/>
        </w:numPr>
        <w:tabs>
          <w:tab w:val="left" w:pos="319"/>
        </w:tabs>
        <w:ind w:left="420" w:leftChars="0"/>
        <w:rPr>
          <w:b/>
          <w:bCs/>
        </w:rPr>
      </w:pPr>
    </w:p>
    <w:p>
      <w:pPr>
        <w:numPr>
          <w:ilvl w:val="0"/>
          <w:numId w:val="8"/>
        </w:numPr>
        <w:tabs>
          <w:tab w:val="left" w:pos="319"/>
        </w:tabs>
        <w:ind w:left="845" w:leftChars="0" w:hanging="425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Mybatis与spring集成，提供</w:t>
      </w:r>
      <w:r>
        <w:rPr>
          <w:rFonts w:hint="eastAsia" w:eastAsiaTheme="minorEastAsia"/>
          <w:b w:val="0"/>
          <w:bCs w:val="0"/>
          <w:lang w:val="en-US" w:eastAsia="zh-CN"/>
        </w:rPr>
        <w:t>SqlSessionFactoryBean</w:t>
      </w:r>
      <w:r>
        <w:rPr>
          <w:rFonts w:hint="eastAsia"/>
          <w:b w:val="0"/>
          <w:bCs w:val="0"/>
          <w:lang w:val="en-US" w:eastAsia="zh-CN"/>
        </w:rPr>
        <w:t>类来初始化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SqlSessionFactory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eastAsia="zh-CN"/>
        </w:rPr>
        <w:t>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buildSqlSessionFactory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方法中，由spring来接管事务</w:t>
      </w:r>
    </w:p>
    <w:p>
      <w:pPr>
        <w:numPr>
          <w:ilvl w:val="0"/>
          <w:numId w:val="0"/>
        </w:numPr>
        <w:tabs>
          <w:tab w:val="left" w:pos="319"/>
        </w:tabs>
        <w:ind w:left="420" w:left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4310" cy="625475"/>
            <wp:effectExtent l="0" t="0" r="139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9"/>
        </w:tabs>
        <w:ind w:left="420" w:left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解析mapper.xml</w:t>
      </w:r>
    </w:p>
    <w:p>
      <w:pPr>
        <w:numPr>
          <w:ilvl w:val="0"/>
          <w:numId w:val="0"/>
        </w:numPr>
        <w:tabs>
          <w:tab w:val="left" w:pos="319"/>
        </w:tabs>
        <w:ind w:left="420" w:left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drawing>
          <wp:inline distT="0" distB="0" distL="114300" distR="114300">
            <wp:extent cx="5273675" cy="641985"/>
            <wp:effectExtent l="0" t="0" r="14605" b="133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MapperScannerConfigurer</w:t>
      </w:r>
      <w:r>
        <w:rPr>
          <w:rFonts w:hint="eastAsia"/>
          <w:lang w:val="en-US" w:eastAsia="zh-CN"/>
        </w:rPr>
        <w:t>来创建mapping bean实例，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2557780"/>
            <wp:effectExtent l="0" t="0" r="635" b="254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MapperScannerConfigurer实现了postProcessBeanDefinitionRegistry方法，将已经注册好的Bean重新替换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ClassPathMapperScanner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类作用：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ClassPathMapperScanner的doScan方法,会将mapper包中的类替换成MapperFactoryBean，MapperFactoryBean实现了FactoryBean接口，每次生成对应Bean的时候，其实调用的FactoryBean的getObject方法。也就是说我们在注入mappler的时候，其实调用的是MapperFactoryBean的getObject方法，而这个方法会生成mappler接口的代理类MapperProxy的实例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022215" cy="1005840"/>
            <wp:effectExtent l="0" t="0" r="6985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此处需要注意的是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public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class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MapperFactoryBean&lt;T&gt; 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extends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SqlSessionDaoSupport 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implements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FactoryBean&lt;T&gt; 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,MapperFactoryBean还继承了SqlSessionDaoSupport，该类偷梁换柱的把SqlSession替换成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SqlSessionTemplate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eastAsia="zh-CN"/>
        </w:rPr>
        <w:t>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详细查看getSqlSession方法。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SqlSessionTemplate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作用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该类改用动态代理，在具体生成mybatis的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DefaultSqlSession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eastAsia="zh-CN"/>
        </w:rPr>
        <w:t>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执行mybatis操作前获取数据库连接和事务，在mybatis操作后执行资源释放，就不用再代码层面手动执行session.close();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272405" cy="3566795"/>
            <wp:effectExtent l="0" t="0" r="635" b="1460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055" cy="2135505"/>
            <wp:effectExtent l="0" t="0" r="6985" b="1333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Tk.mybatis(通用mybatis)源码赏析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通用方法初始化方法</w:t>
      </w:r>
    </w:p>
    <w:p>
      <w:pPr>
        <w:widowControl w:val="0"/>
        <w:numPr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在初始化mapper.xml过程中在MapperRegistry类中执行addMapper方法时会扫描mapper接口中的方法注解</w:t>
      </w:r>
    </w:p>
    <w:p>
      <w:pPr>
        <w:widowControl w:val="0"/>
        <w:numPr>
          <w:numId w:val="0"/>
        </w:numPr>
        <w:ind w:leftChars="200"/>
        <w:jc w:val="both"/>
      </w:pPr>
      <w:r>
        <w:drawing>
          <wp:inline distT="0" distB="0" distL="114300" distR="114300">
            <wp:extent cx="5271770" cy="2041525"/>
            <wp:effectExtent l="0" t="0" r="1270" b="63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200"/>
        <w:jc w:val="both"/>
        <w:rPr>
          <w:rFonts w:hint="eastAsia" w:eastAsia="Î¢ÈíÑÅºÚ"/>
          <w:lang w:val="en-US" w:eastAsia="zh-CN"/>
        </w:rPr>
      </w:pPr>
      <w:r>
        <w:rPr>
          <w:rFonts w:hint="eastAsia"/>
          <w:lang w:val="en-US" w:eastAsia="zh-CN"/>
        </w:rPr>
        <w:t>在获取该mapper的所有方法时会把mapper继承的父类方法也获取到，然后解析方法上的@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InsertProvider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/@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SelectProvider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等注解，然后生成该方法对应的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MappedStatement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对象</w:t>
      </w:r>
    </w:p>
    <w:p>
      <w:pPr>
        <w:numPr>
          <w:numId w:val="0"/>
        </w:numPr>
        <w:ind w:leftChars="0"/>
        <w:rPr>
          <w:b/>
          <w:bCs/>
        </w:rPr>
      </w:pP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执行器触发方式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tk.mybatis.spring.mapper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MapperFactoryBean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类继承了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SqlSessionDaoSupport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和 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DaoSupport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类，重写了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checkDaoConfig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()方法。在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checkDaoConfig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()方法中进行通用方法初始化。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在DaoSupport类中设置完属性后的回调方法中触发了checkDaoConfig(),方法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8595" cy="2573655"/>
            <wp:effectExtent l="0" t="0" r="4445" b="190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Î¢ÈíÑÅºÚ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checkDaoConfig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()方法中执行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MapperHelper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的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processConfiguration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方法。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回调用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MapperTemplate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setSqlSource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</w:t>
      </w:r>
    </w:p>
    <w:p>
      <w:pPr>
        <w:widowControl w:val="0"/>
        <w:numPr>
          <w:numId w:val="0"/>
        </w:numPr>
        <w:ind w:leftChars="200"/>
        <w:jc w:val="both"/>
      </w:pPr>
      <w:r>
        <w:drawing>
          <wp:inline distT="0" distB="0" distL="114300" distR="114300">
            <wp:extent cx="5267325" cy="3241675"/>
            <wp:effectExtent l="0" t="0" r="5715" b="444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20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setSqlSource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方法会先从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MappedStatement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获取方法，然后通过方法反射，执行具体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MapperTemplate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子类如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selectOne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方法对应的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BaseSelectProvider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类。然后通过扫描实体中配置的注解而得到具体sql</w:t>
      </w:r>
    </w:p>
    <w:p>
      <w:pPr>
        <w:widowControl w:val="0"/>
        <w:numPr>
          <w:numId w:val="0"/>
        </w:numPr>
        <w:ind w:leftChars="200"/>
        <w:jc w:val="both"/>
      </w:pPr>
      <w:r>
        <w:drawing>
          <wp:inline distT="0" distB="0" distL="114300" distR="114300">
            <wp:extent cx="5269230" cy="1715135"/>
            <wp:effectExtent l="0" t="0" r="3810" b="698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最后生成新的SqlSource替换原有缓存中的Sqlsource.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在执行具体父类提供的方法时，就像是通</w:t>
      </w:r>
      <w:bookmarkStart w:id="0" w:name="_GoBack"/>
      <w:bookmarkEnd w:id="0"/>
      <w:r>
        <w:rPr>
          <w:rFonts w:hint="eastAsia"/>
          <w:lang w:val="en-US" w:eastAsia="zh-CN"/>
        </w:rPr>
        <w:t>过在xml中添加对应方法一样。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1AE5BC"/>
    <w:multiLevelType w:val="singleLevel"/>
    <w:tmpl w:val="8C1AE5B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AB32140F"/>
    <w:multiLevelType w:val="multilevel"/>
    <w:tmpl w:val="AB32140F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2">
    <w:nsid w:val="C6B0BA61"/>
    <w:multiLevelType w:val="multilevel"/>
    <w:tmpl w:val="C6B0BA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F36CBA4"/>
    <w:multiLevelType w:val="singleLevel"/>
    <w:tmpl w:val="0F36CB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26C72A5"/>
    <w:multiLevelType w:val="singleLevel"/>
    <w:tmpl w:val="126C72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2D765E5"/>
    <w:multiLevelType w:val="singleLevel"/>
    <w:tmpl w:val="12D765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4AE8D7F"/>
    <w:multiLevelType w:val="singleLevel"/>
    <w:tmpl w:val="14AE8D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306C8C66"/>
    <w:multiLevelType w:val="singleLevel"/>
    <w:tmpl w:val="306C8C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19142AE"/>
    <w:multiLevelType w:val="singleLevel"/>
    <w:tmpl w:val="519142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41D53"/>
    <w:rsid w:val="03096BE6"/>
    <w:rsid w:val="031F24DF"/>
    <w:rsid w:val="03D94620"/>
    <w:rsid w:val="06C01538"/>
    <w:rsid w:val="06CF48E4"/>
    <w:rsid w:val="07191975"/>
    <w:rsid w:val="07322CBF"/>
    <w:rsid w:val="08AA63C1"/>
    <w:rsid w:val="08BC4CF2"/>
    <w:rsid w:val="09170906"/>
    <w:rsid w:val="09837FED"/>
    <w:rsid w:val="09D420DD"/>
    <w:rsid w:val="09D56309"/>
    <w:rsid w:val="09E90AC9"/>
    <w:rsid w:val="09F72025"/>
    <w:rsid w:val="0A6003B0"/>
    <w:rsid w:val="0AB21172"/>
    <w:rsid w:val="0C8976A9"/>
    <w:rsid w:val="0CFB399A"/>
    <w:rsid w:val="0D4041A4"/>
    <w:rsid w:val="0DC47AB9"/>
    <w:rsid w:val="0E237DF7"/>
    <w:rsid w:val="0EE22938"/>
    <w:rsid w:val="0F4C0BF1"/>
    <w:rsid w:val="0F9F512E"/>
    <w:rsid w:val="0FBC5C60"/>
    <w:rsid w:val="10101613"/>
    <w:rsid w:val="106342C4"/>
    <w:rsid w:val="108F382D"/>
    <w:rsid w:val="109F35CC"/>
    <w:rsid w:val="10D431E3"/>
    <w:rsid w:val="1109202C"/>
    <w:rsid w:val="116F0050"/>
    <w:rsid w:val="122327D8"/>
    <w:rsid w:val="1238653A"/>
    <w:rsid w:val="12582251"/>
    <w:rsid w:val="12853201"/>
    <w:rsid w:val="1287160C"/>
    <w:rsid w:val="136720A1"/>
    <w:rsid w:val="146373E7"/>
    <w:rsid w:val="14E125BD"/>
    <w:rsid w:val="17D45ADE"/>
    <w:rsid w:val="182F53CA"/>
    <w:rsid w:val="197B73FB"/>
    <w:rsid w:val="1B481B1E"/>
    <w:rsid w:val="1B4952CE"/>
    <w:rsid w:val="1BBC3DFA"/>
    <w:rsid w:val="1C3A0CF2"/>
    <w:rsid w:val="1CA1043C"/>
    <w:rsid w:val="1D7867A6"/>
    <w:rsid w:val="1DCB114C"/>
    <w:rsid w:val="1E3C1AEE"/>
    <w:rsid w:val="1E954B5A"/>
    <w:rsid w:val="1F3674D8"/>
    <w:rsid w:val="209B2730"/>
    <w:rsid w:val="21272BCB"/>
    <w:rsid w:val="21291236"/>
    <w:rsid w:val="21B801E9"/>
    <w:rsid w:val="23133451"/>
    <w:rsid w:val="231E5EF9"/>
    <w:rsid w:val="237D519C"/>
    <w:rsid w:val="258C3697"/>
    <w:rsid w:val="25B360AB"/>
    <w:rsid w:val="261A0233"/>
    <w:rsid w:val="262804F9"/>
    <w:rsid w:val="264A3F53"/>
    <w:rsid w:val="26B23F1F"/>
    <w:rsid w:val="26C85A30"/>
    <w:rsid w:val="284426C4"/>
    <w:rsid w:val="29330437"/>
    <w:rsid w:val="296B2F8C"/>
    <w:rsid w:val="29C16C66"/>
    <w:rsid w:val="2A1A75BA"/>
    <w:rsid w:val="2A96631D"/>
    <w:rsid w:val="2B16507E"/>
    <w:rsid w:val="2C41687D"/>
    <w:rsid w:val="2C5D2777"/>
    <w:rsid w:val="2D2D5EB3"/>
    <w:rsid w:val="2D3C5131"/>
    <w:rsid w:val="2E1954CB"/>
    <w:rsid w:val="2E4D048E"/>
    <w:rsid w:val="2EDE0F9E"/>
    <w:rsid w:val="2F426FBB"/>
    <w:rsid w:val="2F911045"/>
    <w:rsid w:val="2FA54910"/>
    <w:rsid w:val="3011292E"/>
    <w:rsid w:val="302414EF"/>
    <w:rsid w:val="312B0903"/>
    <w:rsid w:val="32985BB7"/>
    <w:rsid w:val="32C66FAB"/>
    <w:rsid w:val="32D2052D"/>
    <w:rsid w:val="3457769F"/>
    <w:rsid w:val="347A0DCB"/>
    <w:rsid w:val="34860812"/>
    <w:rsid w:val="34C13676"/>
    <w:rsid w:val="35A161C6"/>
    <w:rsid w:val="36D511DA"/>
    <w:rsid w:val="37FA09EC"/>
    <w:rsid w:val="381C130B"/>
    <w:rsid w:val="38476798"/>
    <w:rsid w:val="38C156B6"/>
    <w:rsid w:val="38EA2172"/>
    <w:rsid w:val="393F5A6F"/>
    <w:rsid w:val="39AE164F"/>
    <w:rsid w:val="39C2448E"/>
    <w:rsid w:val="3A134252"/>
    <w:rsid w:val="3A3F2424"/>
    <w:rsid w:val="3A6D6550"/>
    <w:rsid w:val="3A897EBD"/>
    <w:rsid w:val="3AC76F19"/>
    <w:rsid w:val="3B823E30"/>
    <w:rsid w:val="3BAE3BA8"/>
    <w:rsid w:val="3BC11DC1"/>
    <w:rsid w:val="3BD1231D"/>
    <w:rsid w:val="3C8B39DC"/>
    <w:rsid w:val="3CA92CB5"/>
    <w:rsid w:val="3CD63609"/>
    <w:rsid w:val="3DBD211C"/>
    <w:rsid w:val="3E0A2150"/>
    <w:rsid w:val="3E146C43"/>
    <w:rsid w:val="3ED770AF"/>
    <w:rsid w:val="3F3620C9"/>
    <w:rsid w:val="3F5B4D95"/>
    <w:rsid w:val="4089270A"/>
    <w:rsid w:val="41306B7D"/>
    <w:rsid w:val="41BE3BC8"/>
    <w:rsid w:val="425E2FED"/>
    <w:rsid w:val="432F619B"/>
    <w:rsid w:val="4368579A"/>
    <w:rsid w:val="438A0646"/>
    <w:rsid w:val="43EF36AE"/>
    <w:rsid w:val="44AA4201"/>
    <w:rsid w:val="44FB0BA7"/>
    <w:rsid w:val="46830B87"/>
    <w:rsid w:val="48713732"/>
    <w:rsid w:val="493637CA"/>
    <w:rsid w:val="494939AD"/>
    <w:rsid w:val="49CD3EA0"/>
    <w:rsid w:val="4C4C5093"/>
    <w:rsid w:val="4D7B6D32"/>
    <w:rsid w:val="4D816A16"/>
    <w:rsid w:val="4DDE3346"/>
    <w:rsid w:val="4DF55045"/>
    <w:rsid w:val="4E6D1FD2"/>
    <w:rsid w:val="4EC774F4"/>
    <w:rsid w:val="501972E1"/>
    <w:rsid w:val="50A01EAF"/>
    <w:rsid w:val="51753E33"/>
    <w:rsid w:val="517C482B"/>
    <w:rsid w:val="51BF028A"/>
    <w:rsid w:val="51E04D44"/>
    <w:rsid w:val="51F51AE5"/>
    <w:rsid w:val="523B5D12"/>
    <w:rsid w:val="530F5B36"/>
    <w:rsid w:val="5335118F"/>
    <w:rsid w:val="53380E52"/>
    <w:rsid w:val="534A05B7"/>
    <w:rsid w:val="53E35215"/>
    <w:rsid w:val="5527553A"/>
    <w:rsid w:val="55750FAD"/>
    <w:rsid w:val="559578E0"/>
    <w:rsid w:val="568B318E"/>
    <w:rsid w:val="57F12C3C"/>
    <w:rsid w:val="59D321A2"/>
    <w:rsid w:val="5B135B8A"/>
    <w:rsid w:val="5B2A1CF2"/>
    <w:rsid w:val="5BE929DF"/>
    <w:rsid w:val="5CCE6CB9"/>
    <w:rsid w:val="5CF13821"/>
    <w:rsid w:val="5E407AAB"/>
    <w:rsid w:val="5E73621D"/>
    <w:rsid w:val="5E98164F"/>
    <w:rsid w:val="5F3F5E49"/>
    <w:rsid w:val="5FAA4F42"/>
    <w:rsid w:val="5FB949D9"/>
    <w:rsid w:val="5FC024AE"/>
    <w:rsid w:val="60375989"/>
    <w:rsid w:val="604F60CD"/>
    <w:rsid w:val="60A91B66"/>
    <w:rsid w:val="61604DEA"/>
    <w:rsid w:val="626060EE"/>
    <w:rsid w:val="631A5734"/>
    <w:rsid w:val="63EF7FB4"/>
    <w:rsid w:val="649014C5"/>
    <w:rsid w:val="64EB5728"/>
    <w:rsid w:val="651F2180"/>
    <w:rsid w:val="65622A55"/>
    <w:rsid w:val="669C5AB8"/>
    <w:rsid w:val="66BC2060"/>
    <w:rsid w:val="66E32411"/>
    <w:rsid w:val="68293BDD"/>
    <w:rsid w:val="682B362F"/>
    <w:rsid w:val="68C85072"/>
    <w:rsid w:val="68DD72DB"/>
    <w:rsid w:val="693828D7"/>
    <w:rsid w:val="69C626D7"/>
    <w:rsid w:val="6A3756D2"/>
    <w:rsid w:val="6A464B4B"/>
    <w:rsid w:val="6A661036"/>
    <w:rsid w:val="6A84404D"/>
    <w:rsid w:val="6A923AAB"/>
    <w:rsid w:val="6AE36A71"/>
    <w:rsid w:val="6B052280"/>
    <w:rsid w:val="6B7B7159"/>
    <w:rsid w:val="6BD75154"/>
    <w:rsid w:val="6C4004AC"/>
    <w:rsid w:val="6DB96935"/>
    <w:rsid w:val="6DE55A68"/>
    <w:rsid w:val="6E58528C"/>
    <w:rsid w:val="6F886CD6"/>
    <w:rsid w:val="6F8D7513"/>
    <w:rsid w:val="70835970"/>
    <w:rsid w:val="726D3CE2"/>
    <w:rsid w:val="731220AA"/>
    <w:rsid w:val="73412814"/>
    <w:rsid w:val="7394344B"/>
    <w:rsid w:val="74032C49"/>
    <w:rsid w:val="74154E29"/>
    <w:rsid w:val="747C4EF4"/>
    <w:rsid w:val="75195E54"/>
    <w:rsid w:val="75B25451"/>
    <w:rsid w:val="75FC3929"/>
    <w:rsid w:val="765E783B"/>
    <w:rsid w:val="76605A0C"/>
    <w:rsid w:val="76824346"/>
    <w:rsid w:val="76A72BF2"/>
    <w:rsid w:val="784B5698"/>
    <w:rsid w:val="7891546F"/>
    <w:rsid w:val="79837E25"/>
    <w:rsid w:val="79EC12FA"/>
    <w:rsid w:val="7A004D4A"/>
    <w:rsid w:val="7A761F44"/>
    <w:rsid w:val="7A870639"/>
    <w:rsid w:val="7AA9026C"/>
    <w:rsid w:val="7AC0020A"/>
    <w:rsid w:val="7B6A1A6C"/>
    <w:rsid w:val="7B990643"/>
    <w:rsid w:val="7C514E38"/>
    <w:rsid w:val="7C81790B"/>
    <w:rsid w:val="7C911623"/>
    <w:rsid w:val="7CF22B5D"/>
    <w:rsid w:val="7D3F25D7"/>
    <w:rsid w:val="7E2128FF"/>
    <w:rsid w:val="7E316388"/>
    <w:rsid w:val="7F59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2018-06-14T09:50:00Z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