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jc w:val="center"/>
        <w:rPr>
          <w:rFonts w:asciiTheme="minorEastAsia" w:hAnsiTheme="minorEastAsia" w:cs="Arial" w:hint="eastAsia"/>
          <w:b/>
          <w:color w:val="222222"/>
          <w:kern w:val="0"/>
          <w:sz w:val="28"/>
          <w:szCs w:val="28"/>
        </w:rPr>
      </w:pPr>
      <w:bookmarkStart w:id="0" w:name="_GoBack"/>
      <w:proofErr w:type="spellStart"/>
      <w:r w:rsidRPr="009865EE">
        <w:rPr>
          <w:rFonts w:asciiTheme="minorEastAsia" w:hAnsiTheme="minorEastAsia" w:cs="Arial" w:hint="eastAsia"/>
          <w:b/>
          <w:color w:val="222222"/>
          <w:kern w:val="0"/>
          <w:sz w:val="28"/>
          <w:szCs w:val="28"/>
        </w:rPr>
        <w:t>조혈모세포이식을</w:t>
      </w:r>
      <w:proofErr w:type="spellEnd"/>
      <w:r w:rsidRPr="009865EE">
        <w:rPr>
          <w:rFonts w:asciiTheme="minorEastAsia" w:hAnsiTheme="minorEastAsia" w:cs="Arial" w:hint="eastAsia"/>
          <w:b/>
          <w:color w:val="222222"/>
          <w:kern w:val="0"/>
          <w:sz w:val="28"/>
          <w:szCs w:val="28"/>
        </w:rPr>
        <w:t xml:space="preserve"> 받은 환자의 진단명</w:t>
      </w:r>
      <w:r w:rsidRPr="009865EE">
        <w:rPr>
          <w:rFonts w:asciiTheme="minorEastAsia" w:hAnsiTheme="minorEastAsia" w:cs="Arial"/>
          <w:b/>
          <w:color w:val="222222"/>
          <w:kern w:val="0"/>
          <w:sz w:val="28"/>
          <w:szCs w:val="28"/>
        </w:rPr>
        <w:t xml:space="preserve"> </w:t>
      </w:r>
      <w:r w:rsidRPr="009865EE">
        <w:rPr>
          <w:rFonts w:asciiTheme="minorEastAsia" w:hAnsiTheme="minorEastAsia" w:cs="Arial" w:hint="eastAsia"/>
          <w:b/>
          <w:color w:val="222222"/>
          <w:kern w:val="0"/>
          <w:sz w:val="28"/>
          <w:szCs w:val="28"/>
        </w:rPr>
        <w:t>확정에 대한 알고리즘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jc w:val="left"/>
        <w:rPr>
          <w:rFonts w:asciiTheme="minorEastAsia" w:hAnsiTheme="minorEastAsia" w:cs="Arial"/>
          <w:b/>
          <w:color w:val="222222"/>
          <w:kern w:val="0"/>
          <w:sz w:val="28"/>
          <w:szCs w:val="28"/>
        </w:rPr>
      </w:pPr>
    </w:p>
    <w:bookmarkEnd w:id="0"/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rPr>
          <w:rFonts w:asciiTheme="minorEastAsia" w:hAnsiTheme="minorEastAsia" w:cs="Arial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1. 동종 조혈 모세포 이식 환자의 기저 혈액질환의 진단명</w:t>
      </w:r>
    </w:p>
    <w:tbl>
      <w:tblPr>
        <w:tblW w:w="0" w:type="auto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2959"/>
        <w:gridCol w:w="3446"/>
      </w:tblGrid>
      <w:tr w:rsidR="009865EE" w:rsidRPr="009865EE" w:rsidTr="009865EE">
        <w:tc>
          <w:tcPr>
            <w:tcW w:w="24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질환</w:t>
            </w:r>
          </w:p>
        </w:tc>
        <w:tc>
          <w:tcPr>
            <w:tcW w:w="29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상병코드</w:t>
            </w:r>
          </w:p>
        </w:tc>
        <w:tc>
          <w:tcPr>
            <w:tcW w:w="34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비고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Aplastic anemia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D610.001 Congenital aplasia, (pure) red cell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D610.002 Aplasia, (pure) red cell of infant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D610.003 Primary aplasia, (pure) red cell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D610.004.01 Familial hypoplastic anemia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D610.007 Pancytopenia with malformation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D619.002 Medullary hypoplasia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D619.000.02 Hypoplastic anemia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D619.003 </w:t>
            </w:r>
            <w:proofErr w:type="spellStart"/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Panmyelophthisis</w:t>
            </w:r>
            <w:proofErr w:type="spellEnd"/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D619.004 Pancytopenia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D619.005 </w:t>
            </w:r>
            <w:proofErr w:type="spellStart"/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Myelophthisic</w:t>
            </w:r>
            <w:proofErr w:type="spellEnd"/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 anemia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Multiple myeloma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C90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C901 Plasma cell leukemia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Hodgkin lymphoma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C81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Non-Hodgkin lymphoma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C82, C83, C84, C85, C86, C88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D479.003 Post-transplant lymphoproliferative disorder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Myelofibrosis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D474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Chronic myeloid leukemia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C921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Other myeloproliferative disease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D471, D475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D470 </w:t>
            </w:r>
            <w:proofErr w:type="spellStart"/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Mastocytoma</w:t>
            </w:r>
            <w:proofErr w:type="spellEnd"/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Myelodysplastic syndrome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D46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Myelodysplastic syndrome /myeloproliferative </w:t>
            </w: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lastRenderedPageBreak/>
              <w:t>disease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lastRenderedPageBreak/>
              <w:t>C946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C922 Atypical chronic myeloid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C931 Chronic myelomonocytic </w:t>
            </w: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lastRenderedPageBreak/>
              <w:t>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C933 Juvenile myelomonocytic leukemia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lastRenderedPageBreak/>
              <w:t>Acute myeloid leukemia (except, M3)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C920, C923, C925, C926, C927, C928, C929, C930, C937, C939, C940, C942, C944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C923.001 Chloroma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C923.002 Granulocytic sarcoma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C939.002 Subacute monocytic leukemia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Acute myeloid leukemia, M3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C924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Acute lymphoblastic leukemia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C91.0, C91.3, C91.5, C91.6, C91.7, C91.9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C917.002 T-cell large granular lymphocytic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C919.003 Lymphosarcoma cell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C919.002 Subacute lymphocytic leukemia</w:t>
            </w:r>
          </w:p>
        </w:tc>
      </w:tr>
      <w:tr w:rsidR="009865EE" w:rsidRPr="009865EE" w:rsidTr="009865EE">
        <w:tc>
          <w:tcPr>
            <w:tcW w:w="247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Unspecified leukemia</w:t>
            </w:r>
          </w:p>
        </w:tc>
        <w:tc>
          <w:tcPr>
            <w:tcW w:w="295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C95 (Acute </w:t>
            </w:r>
            <w:proofErr w:type="spellStart"/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biphenotypic</w:t>
            </w:r>
            <w:proofErr w:type="spellEnd"/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 xml:space="preserve"> leukemia)</w:t>
            </w:r>
          </w:p>
        </w:tc>
        <w:tc>
          <w:tcPr>
            <w:tcW w:w="344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C950.000 Acute leukemia, unspecified cell type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C950.001 Blast cell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C951.000 Chronic leukemia of unspecified cell type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C957.000 Other leukemia of unspecified cell type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C959.000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C959.001 Congenital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C959.002 Orbital leukemia</w:t>
            </w:r>
          </w:p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C959.004 Subacute leukemia of unspecified cell type</w:t>
            </w:r>
          </w:p>
        </w:tc>
      </w:tr>
      <w:tr w:rsidR="009865EE" w:rsidRPr="009865EE" w:rsidTr="009865EE">
        <w:tc>
          <w:tcPr>
            <w:tcW w:w="247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Others</w:t>
            </w:r>
          </w:p>
        </w:tc>
        <w:tc>
          <w:tcPr>
            <w:tcW w:w="2959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  <w:tc>
          <w:tcPr>
            <w:tcW w:w="3446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65EE" w:rsidRPr="009865EE" w:rsidRDefault="009865EE" w:rsidP="009865E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="Helvetica" w:hint="eastAsia"/>
                <w:kern w:val="0"/>
                <w:sz w:val="22"/>
              </w:rPr>
            </w:pPr>
            <w:r w:rsidRPr="009865EE">
              <w:rPr>
                <w:rFonts w:asciiTheme="minorEastAsia" w:hAnsiTheme="minorEastAsia" w:cs="Helvetica" w:hint="eastAsia"/>
                <w:kern w:val="0"/>
                <w:sz w:val="22"/>
              </w:rPr>
              <w:t> </w:t>
            </w:r>
          </w:p>
        </w:tc>
      </w:tr>
    </w:tbl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 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현재까지 분석에서 연도별 조혈 모세포 이식을 시행 받은 환자 수는 대략적으로 기존 자료 (조혈 모세포이식 간호사회 자료) 와 일치하였으나 질환 별 환자 수는 일치하지 않았습니다. 그래서, 다음과 같은 단계로 환자들의 진단명을 추출하고자 합니다.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1) 조혈 모세포 이식 청구한 날의 진단 코드를 기준으로 합니다. 이것이 상식적으로 생각해 볼 때 가장 실제의 진단명을 반영하는 것 같습니다.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2) </w:t>
      </w:r>
      <w:bookmarkStart w:id="1" w:name="m_1546807454805575584__Hlk525755036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Acute myeloid leukemia </w:t>
      </w:r>
      <w:bookmarkEnd w:id="1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환자의 경우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lastRenderedPageBreak/>
        <w:t>a. 이식 날짜 기준 2년 안에 idarubicin (173002BIJ) 혹은 daunorubicin (140601BIJ) 을 투약 받은 경우 – acute myeloid leukemia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이식 날짜 기준 2년 안에 idarubicin 혹은 daunorubicin 을 받지 않았으나 cyclophosphamide 를 투약 받은 경우 – acute lymphoblastic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이식 날짜 기준 2년 안에 만일 </w:t>
      </w:r>
      <w:proofErr w:type="spell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vesanoid</w:t>
      </w:r>
      <w:proofErr w:type="spellEnd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 xml:space="preserve"> (243001ACS) </w:t>
      </w:r>
      <w:proofErr w:type="gram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혹은  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shd w:val="clear" w:color="auto" w:fill="FFFFFF"/>
        </w:rPr>
        <w:t>AS</w:t>
      </w:r>
      <w:proofErr w:type="gramEnd"/>
      <w:r w:rsidRPr="009865EE">
        <w:rPr>
          <w:rFonts w:asciiTheme="minorEastAsia" w:hAnsiTheme="minorEastAsia" w:cs="Arial" w:hint="eastAsia"/>
          <w:color w:val="222222"/>
          <w:kern w:val="0"/>
          <w:sz w:val="22"/>
          <w:shd w:val="clear" w:color="auto" w:fill="FFFFFF"/>
          <w:vertAlign w:val="subscript"/>
        </w:rPr>
        <w:t>2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shd w:val="clear" w:color="auto" w:fill="FFFFFF"/>
        </w:rPr>
        <w:t>O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shd w:val="clear" w:color="auto" w:fill="FFFFFF"/>
          <w:vertAlign w:val="subscript"/>
        </w:rPr>
        <w:t>3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shd w:val="clear" w:color="auto" w:fill="FFFFFF"/>
        </w:rPr>
        <w:t> (588430BIJ) 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를 3회 이상 처방 받은 경우 acute myeloid leukemia, M3 환자로 변경합니다.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d. 위의 조건에 모두 해당하지 않는 경우에는 unspecified leukemia 환자로 변경하고 그 수가 적을 경우 other disease 로 묶어서 처리합니다. (버릴지 추후 결정)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3) Acute myeloid leukemia, M3 환자의 경우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a. 이식 날짜 기준 2년 안에 </w:t>
      </w:r>
      <w:proofErr w:type="spell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vesanoid</w:t>
      </w:r>
      <w:proofErr w:type="spellEnd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 xml:space="preserve"> (243001ACS) 혹은 AS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vertAlign w:val="subscript"/>
        </w:rPr>
        <w:t>2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O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vertAlign w:val="subscript"/>
        </w:rPr>
        <w:t>3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 (588430BIJ) 를 3회 이상 투약 받은 경우 – acute myeloid leukemia, M3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이식 날짜 기준 2년 안에 </w:t>
      </w:r>
      <w:proofErr w:type="spell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vesanoid</w:t>
      </w:r>
      <w:proofErr w:type="spellEnd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 xml:space="preserve"> (243001ACS) 혹은 AS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vertAlign w:val="subscript"/>
        </w:rPr>
        <w:t>2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O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vertAlign w:val="subscript"/>
        </w:rPr>
        <w:t>3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 (588430BIJ) 를 투약 받지 않았으나 혹은 idarubicin 혹은 daunorubicin 을 투약 받은 경우 – acute myeloid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이식 날짜 기준 2년 안에 </w:t>
      </w:r>
      <w:proofErr w:type="spell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vesanoid</w:t>
      </w:r>
      <w:proofErr w:type="spellEnd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 xml:space="preserve"> (243001ACS) 혹은 AS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vertAlign w:val="subscript"/>
        </w:rPr>
        <w:t>2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O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  <w:vertAlign w:val="subscript"/>
        </w:rPr>
        <w:t>3</w:t>
      </w: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 (588430BIJ) 를 투약 받지 않았으나 </w:t>
      </w:r>
      <w:proofErr w:type="gram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cyclophosphamide 를</w:t>
      </w:r>
      <w:proofErr w:type="gramEnd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 xml:space="preserve"> 투약 받은 경우 – acute lymphoblastic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d. 위의 조건에 모두 해당하지 않는 경우에는 unspecified leukemia 환자로 변경하고 그 수가 적을 경우 other disease 로 묶어서 처리합니다. (버릴지 추후 결정)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4) Acute lymphoblastic leukemia 환자의 경우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a. 이식 날짜 기준 2년 안에 cyclophosphamide (139003BIJ, 139004BIJ, 139005BIJ, 139001ATB) 를 투약 받은 경우 – acute lymphoblastic leukemia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이식 날짜 기준 2년 안에 cyclophosphamide 를 투약 받지 않았으나 idarubicin (173002BIJ) 혹은 daunorubicin (140601BIJ) 을 투약 받은 경우 – acute myeloid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위의 조건에 모두 해당하지 않는 경우에는 unspecified leukemia 환자로 변경하고 그 수가 적을 경우 other disease 로 묶어서 처리합니다. (버릴지 추후 결정)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5) Unspecified leukemia 환자의 경우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a. 이식 날짜 기준 2년 안에 idarubicin 혹은 daunorubicin 을 투약 받은 경우 – acute myeloid leukemia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lastRenderedPageBreak/>
        <w:t>b. 이식 날짜 기준 2년 안에 cyclophosphamide 를 투약 받은 경우 – acute lymphoblastic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만약 혹시라도 idarubicin, daunorubicin, cyclophosphamide 모두를 투약 받은 경우 - acute myeloid leukemia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d. 위의 조건에 모두 해당하지 않는 경우에는 Unspecified leukemia 환자로 변경하고 그 수가 적을 경우 other disease 로 묶어서 처리합니다. (버릴지 추후 결정)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5) Aplastic anemia 환자의 경우 – 기존 분석 내용에서 환자가 너무 많아 아마도 acute myeloid leukemia 혹은 acute lymphoblastic leukemia 환자가 섞여 있을 것으로 생각됩니다.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a. 이식 날짜 기준 2년 안에 idarubicin 혹은 daunorubicin 을 투약 받은 경우 – acute myeloid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이식 날짜 기준 2년 안에 cyclophosphamide 를 투약 받은 경우 – acute lymphoblastic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위의 조건에 모두 해당하지 않는 경우에는 aplastic anemia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6) Aplastic anemia 환자의 경우 – 기존 분석 내용에서 환자가 너무 많아 아마도 acute myeloid leukemia 혹은 acute lymphoblastic leukemia 환자가 섞여 있을 것으로 생각됩니다.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a. 이식 날짜 기준 2년 안에 idarubicin 혹은 daunorubicin 을 투약 받은 경우 – acute myeloid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이식 날짜 기준 2년 안에 cyclophosphamide 를 투약 받은 경우 – acute lymphoblastic leukemia 환자로 변경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위의 조건에 모두 해당하지 않는 경우에는 aplastic anemia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7) Multiple myeloma 환자의 경우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a. 이식 날짜 기준 2년 안에 thalidomide (485701ACH, 485702ACH), bortezomib (463301BIJ, 463302BIJ, 463303BIJ), 및 lenalidomide (588201ACH, 588202ACH, 588203ACH, 588204ACH, 588205ACH, 588206ACH, 588207ACH) 중 하나를 투약 받은 경우 – multiple myeloma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이식 날짜 기준 2년 안에 thalidomide, bortezomib 및 lenalidomide 를 투여 받지 않은 경우 dexamethasone (142232BIJ, 142233BIJ) 를 2회 이상 투여 받은 경우 – multiple myeloma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c. 위의 조건에 모두 해당하지 않는 경우에는 other disease 환자로 변경하고 그 수가 많을 경우 다시 검토합니다.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200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8) Chronic myeloid leukemia 환자의 경우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lastRenderedPageBreak/>
        <w:t xml:space="preserve">a. 이식 날짜 기준 2년 안에 Imatinib (412701ATB, 412702ATB, 412703ATB, 412704 ATB), </w:t>
      </w:r>
      <w:proofErr w:type="spellStart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Dasatinib</w:t>
      </w:r>
      <w:proofErr w:type="spellEnd"/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 xml:space="preserve"> (493301ATB, 493302ATB, 493303ATB, 493304ATB, 493305ATB), Nilotinib (562601ACH, 562602ACH), Ponatinib (669601ATB, 669602ATB) 중에 한 약제를 처방 받은 경우 – chronic myeloid leukemia 환자로 확정</w:t>
      </w:r>
    </w:p>
    <w:p w:rsidR="009865EE" w:rsidRPr="009865EE" w:rsidRDefault="009865EE" w:rsidP="009865EE">
      <w:pPr>
        <w:widowControl/>
        <w:shd w:val="clear" w:color="auto" w:fill="FFFFFF"/>
        <w:wordWrap/>
        <w:autoSpaceDE/>
        <w:autoSpaceDN/>
        <w:spacing w:line="300" w:lineRule="atLeast"/>
        <w:ind w:left="709"/>
        <w:rPr>
          <w:rFonts w:asciiTheme="minorEastAsia" w:hAnsiTheme="minorEastAsia" w:cs="Arial" w:hint="eastAsia"/>
          <w:color w:val="222222"/>
          <w:kern w:val="0"/>
          <w:sz w:val="22"/>
        </w:rPr>
      </w:pPr>
      <w:r w:rsidRPr="009865EE">
        <w:rPr>
          <w:rFonts w:asciiTheme="minorEastAsia" w:hAnsiTheme="minorEastAsia" w:cs="Arial" w:hint="eastAsia"/>
          <w:color w:val="222222"/>
          <w:kern w:val="0"/>
          <w:sz w:val="22"/>
        </w:rPr>
        <w:t>b. 위의 조건에 해당하지 않는 경우에는 other myeloproliferative disease 환자로 변경</w:t>
      </w:r>
    </w:p>
    <w:p w:rsidR="000D202D" w:rsidRPr="009865EE" w:rsidRDefault="009865EE">
      <w:pPr>
        <w:rPr>
          <w:rFonts w:asciiTheme="minorEastAsia" w:hAnsiTheme="minorEastAsia"/>
          <w:sz w:val="22"/>
        </w:rPr>
      </w:pPr>
    </w:p>
    <w:sectPr w:rsidR="000D202D" w:rsidRPr="009865EE" w:rsidSect="008A1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EE"/>
    <w:rsid w:val="00711D88"/>
    <w:rsid w:val="008638B7"/>
    <w:rsid w:val="008A1981"/>
    <w:rsid w:val="008E342F"/>
    <w:rsid w:val="009865EE"/>
    <w:rsid w:val="0099705F"/>
    <w:rsid w:val="00A7183B"/>
    <w:rsid w:val="00F92AD8"/>
    <w:rsid w:val="00F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0F8A"/>
  <w15:chartTrackingRefBased/>
  <w15:docId w15:val="{73BAF2D8-2B95-4A6E-BDAB-9DDCF6F6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86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Seunghwan</dc:creator>
  <cp:keywords/>
  <dc:description/>
  <cp:lastModifiedBy>Shin Seunghwan</cp:lastModifiedBy>
  <cp:revision>1</cp:revision>
  <dcterms:created xsi:type="dcterms:W3CDTF">2019-04-23T04:37:00Z</dcterms:created>
  <dcterms:modified xsi:type="dcterms:W3CDTF">2019-04-23T04:39:00Z</dcterms:modified>
</cp:coreProperties>
</file>